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55" w:rsidRPr="00DD3F55" w:rsidRDefault="00DD3F55" w:rsidP="00DD3F55">
      <w:pPr>
        <w:spacing w:after="0" w:line="240" w:lineRule="auto"/>
        <w:jc w:val="center"/>
        <w:rPr>
          <w:rFonts w:ascii="Arial" w:hAnsi="Arial" w:cs="Arial"/>
          <w:b/>
          <w:caps/>
        </w:rPr>
      </w:pPr>
      <w:r w:rsidRPr="00DD3F55">
        <w:rPr>
          <w:rFonts w:ascii="Arial" w:hAnsi="Arial" w:cs="Arial"/>
          <w:b/>
          <w:caps/>
        </w:rPr>
        <w:t>Government of Rwanda</w:t>
      </w:r>
    </w:p>
    <w:p w:rsidR="00DD3F55" w:rsidRPr="00DD3F55" w:rsidRDefault="00DD3F55" w:rsidP="00DD3F55">
      <w:pPr>
        <w:spacing w:after="0" w:line="240" w:lineRule="auto"/>
        <w:jc w:val="center"/>
        <w:rPr>
          <w:rFonts w:ascii="Arial" w:hAnsi="Arial" w:cs="Arial"/>
          <w:b/>
          <w:u w:val="single"/>
        </w:rPr>
      </w:pPr>
      <w:r w:rsidRPr="00DD3F55">
        <w:rPr>
          <w:rFonts w:ascii="Arial" w:hAnsi="Arial" w:cs="Arial"/>
          <w:b/>
          <w:caps/>
          <w:u w:val="single"/>
        </w:rPr>
        <w:t>Ministry of Infrastructure</w:t>
      </w:r>
    </w:p>
    <w:p w:rsidR="00DD3F55" w:rsidRPr="00DD3F55" w:rsidRDefault="00DD3F55" w:rsidP="00DD3F55">
      <w:pPr>
        <w:spacing w:after="0" w:line="240" w:lineRule="auto"/>
        <w:jc w:val="center"/>
        <w:rPr>
          <w:rFonts w:ascii="Arial" w:hAnsi="Arial" w:cs="Arial"/>
          <w:b/>
        </w:rPr>
      </w:pPr>
    </w:p>
    <w:p w:rsidR="00DD3F55" w:rsidRPr="00DD3F55" w:rsidRDefault="00DD3F55" w:rsidP="00DD3F55">
      <w:pPr>
        <w:spacing w:after="0" w:line="240" w:lineRule="auto"/>
        <w:jc w:val="center"/>
        <w:rPr>
          <w:rFonts w:ascii="Arial" w:hAnsi="Arial" w:cs="Arial"/>
          <w:b/>
        </w:rPr>
      </w:pPr>
      <w:r w:rsidRPr="00DD3F55">
        <w:rPr>
          <w:rFonts w:ascii="Arial" w:hAnsi="Arial" w:cs="Arial"/>
          <w:b/>
        </w:rPr>
        <w:t>REVIEW OF THE NATIONAL POLICY AND STRATGY FOR WATER SUPPLY AND SANITATION SERVICES</w:t>
      </w:r>
    </w:p>
    <w:p w:rsidR="00DD3F55" w:rsidRPr="00DD3F55" w:rsidRDefault="00DD3F55" w:rsidP="00DD3F55">
      <w:pPr>
        <w:spacing w:after="0" w:line="240" w:lineRule="auto"/>
        <w:jc w:val="center"/>
        <w:rPr>
          <w:rFonts w:ascii="Arial" w:hAnsi="Arial" w:cs="Arial"/>
          <w:b/>
        </w:rPr>
      </w:pPr>
      <w:bookmarkStart w:id="0" w:name="_GoBack"/>
      <w:bookmarkEnd w:id="0"/>
    </w:p>
    <w:p w:rsidR="00DD3F55" w:rsidRPr="00DD3F55" w:rsidRDefault="00DD3F55" w:rsidP="00DD3F55">
      <w:pPr>
        <w:pBdr>
          <w:bottom w:val="single" w:sz="4" w:space="1" w:color="auto"/>
        </w:pBdr>
        <w:spacing w:after="0" w:line="240" w:lineRule="auto"/>
        <w:jc w:val="center"/>
        <w:rPr>
          <w:rFonts w:ascii="Arial" w:hAnsi="Arial" w:cs="Arial"/>
          <w:b/>
          <w:i/>
        </w:rPr>
      </w:pPr>
      <w:r w:rsidRPr="00DD3F55">
        <w:rPr>
          <w:rFonts w:ascii="Arial" w:hAnsi="Arial" w:cs="Arial"/>
          <w:b/>
          <w:i/>
        </w:rPr>
        <w:t>CONCEPT NOTE</w:t>
      </w:r>
    </w:p>
    <w:p w:rsidR="00DD3F55" w:rsidRPr="00DD3F55" w:rsidRDefault="00DD3F55" w:rsidP="00DD3F55">
      <w:pPr>
        <w:pBdr>
          <w:bottom w:val="single" w:sz="4" w:space="1" w:color="auto"/>
        </w:pBdr>
        <w:spacing w:after="0" w:line="240" w:lineRule="auto"/>
        <w:jc w:val="both"/>
        <w:rPr>
          <w:rFonts w:ascii="Arial" w:hAnsi="Arial" w:cs="Arial"/>
          <w:b/>
        </w:rPr>
      </w:pPr>
    </w:p>
    <w:p w:rsidR="00DD3F55" w:rsidRPr="00DD3F55" w:rsidRDefault="00DD3F55" w:rsidP="00DD3F55">
      <w:pPr>
        <w:pStyle w:val="ListParagraph"/>
        <w:tabs>
          <w:tab w:val="left" w:pos="2258"/>
        </w:tabs>
        <w:ind w:left="360"/>
        <w:jc w:val="both"/>
        <w:rPr>
          <w:rFonts w:ascii="Arial" w:hAnsi="Arial" w:cs="Arial"/>
          <w:b/>
        </w:rPr>
      </w:pPr>
    </w:p>
    <w:p w:rsidR="00DD3F55" w:rsidRPr="00DD3F55" w:rsidRDefault="00DD3F55" w:rsidP="00DD3F55">
      <w:pPr>
        <w:pStyle w:val="ListParagraph"/>
        <w:numPr>
          <w:ilvl w:val="0"/>
          <w:numId w:val="3"/>
        </w:numPr>
        <w:tabs>
          <w:tab w:val="left" w:pos="2258"/>
        </w:tabs>
        <w:spacing w:after="0" w:line="240" w:lineRule="auto"/>
        <w:jc w:val="both"/>
        <w:rPr>
          <w:rFonts w:ascii="Arial" w:hAnsi="Arial" w:cs="Arial"/>
          <w:b/>
        </w:rPr>
      </w:pPr>
      <w:r w:rsidRPr="00DD3F55">
        <w:rPr>
          <w:rFonts w:ascii="Arial" w:hAnsi="Arial" w:cs="Arial"/>
          <w:b/>
        </w:rPr>
        <w:t xml:space="preserve">Background </w:t>
      </w:r>
    </w:p>
    <w:p w:rsidR="00DD3F55" w:rsidRPr="00DD3F55" w:rsidRDefault="00DD3F55" w:rsidP="00DD3F55">
      <w:pPr>
        <w:pStyle w:val="Default"/>
        <w:jc w:val="both"/>
        <w:rPr>
          <w:rFonts w:ascii="Arial" w:hAnsi="Arial" w:cs="Arial"/>
          <w:color w:val="auto"/>
          <w:sz w:val="22"/>
          <w:szCs w:val="22"/>
          <w:lang w:val="en-GB" w:eastAsia="de-DE"/>
        </w:rPr>
      </w:pPr>
      <w:r w:rsidRPr="00DD3F55">
        <w:rPr>
          <w:rFonts w:ascii="Arial" w:hAnsi="Arial" w:cs="Arial"/>
          <w:color w:val="auto"/>
          <w:sz w:val="22"/>
          <w:szCs w:val="22"/>
          <w:lang w:val="en-GB" w:eastAsia="de-DE"/>
        </w:rPr>
        <w:t>Water supply and sanitation play a critical role in preventive healthcare and socio-economic development of Rwanda. Improved access to water supply reduces the time spent searching for water and may improve educational outcomes</w:t>
      </w:r>
      <w:r w:rsidR="004759EC">
        <w:rPr>
          <w:rStyle w:val="FootnoteReference"/>
          <w:rFonts w:ascii="Arial" w:hAnsi="Arial" w:cs="Arial"/>
          <w:color w:val="auto"/>
          <w:sz w:val="22"/>
          <w:szCs w:val="22"/>
          <w:lang w:val="en-GB" w:eastAsia="de-DE"/>
        </w:rPr>
        <w:footnoteReference w:id="1"/>
      </w:r>
      <w:r w:rsidRPr="00DD3F55">
        <w:rPr>
          <w:rFonts w:ascii="Arial" w:hAnsi="Arial" w:cs="Arial"/>
          <w:color w:val="auto"/>
          <w:sz w:val="22"/>
          <w:szCs w:val="22"/>
          <w:lang w:val="en-GB" w:eastAsia="de-DE"/>
        </w:rPr>
        <w:t xml:space="preserve">.  Evidence suggests </w:t>
      </w:r>
      <w:r w:rsidR="004759EC">
        <w:rPr>
          <w:rFonts w:ascii="Arial" w:hAnsi="Arial" w:cs="Arial"/>
          <w:color w:val="auto"/>
          <w:sz w:val="22"/>
          <w:szCs w:val="22"/>
          <w:lang w:val="en-GB" w:eastAsia="de-DE"/>
        </w:rPr>
        <w:t xml:space="preserve">that </w:t>
      </w:r>
      <w:r w:rsidRPr="00DD3F55">
        <w:rPr>
          <w:rFonts w:ascii="Arial" w:hAnsi="Arial" w:cs="Arial"/>
          <w:color w:val="auto"/>
          <w:sz w:val="22"/>
          <w:szCs w:val="22"/>
          <w:lang w:val="en-GB" w:eastAsia="de-DE"/>
        </w:rPr>
        <w:t xml:space="preserve">women and girls bear more of the cost of distant water sources in Rwanda. This not only affects their physical conditions adversely but also the economic productivity, as fetching water takes bulk of the time from their hectic daily routine. Lack of appropriate water and sanitation services and poor hygiene also contributes </w:t>
      </w:r>
      <w:r w:rsidR="004759EC">
        <w:rPr>
          <w:rFonts w:ascii="Arial" w:hAnsi="Arial" w:cs="Arial"/>
          <w:color w:val="auto"/>
          <w:sz w:val="22"/>
          <w:szCs w:val="22"/>
          <w:lang w:val="en-GB" w:eastAsia="de-DE"/>
        </w:rPr>
        <w:t xml:space="preserve">to </w:t>
      </w:r>
      <w:r w:rsidRPr="00DD3F55">
        <w:rPr>
          <w:rFonts w:ascii="Arial" w:hAnsi="Arial" w:cs="Arial"/>
          <w:color w:val="auto"/>
          <w:sz w:val="22"/>
          <w:szCs w:val="22"/>
          <w:lang w:val="en-GB" w:eastAsia="de-DE"/>
        </w:rPr>
        <w:t xml:space="preserve">high stunting among children due to diarrheal diseases and environmental enteropathy.  </w:t>
      </w:r>
    </w:p>
    <w:p w:rsidR="00DD3F55" w:rsidRPr="00DD3F55" w:rsidRDefault="00DD3F55" w:rsidP="00DD3F55">
      <w:pPr>
        <w:pStyle w:val="Default"/>
        <w:jc w:val="both"/>
        <w:rPr>
          <w:rFonts w:ascii="Arial" w:hAnsi="Arial" w:cs="Arial"/>
          <w:color w:val="auto"/>
          <w:sz w:val="22"/>
          <w:szCs w:val="22"/>
          <w:lang w:val="en-GB" w:eastAsia="de-DE"/>
        </w:rPr>
      </w:pPr>
    </w:p>
    <w:p w:rsidR="00DD3F55" w:rsidRPr="00DD3F55" w:rsidRDefault="00DD3F55" w:rsidP="00DD3F55">
      <w:pPr>
        <w:widowControl w:val="0"/>
        <w:spacing w:after="0" w:line="240" w:lineRule="auto"/>
        <w:jc w:val="both"/>
        <w:rPr>
          <w:rFonts w:ascii="Arial" w:hAnsi="Arial" w:cs="Arial"/>
          <w:lang w:val="en-GB" w:eastAsia="de-DE"/>
        </w:rPr>
      </w:pPr>
      <w:r w:rsidRPr="00DD3F55">
        <w:rPr>
          <w:rFonts w:ascii="Arial" w:hAnsi="Arial" w:cs="Arial"/>
          <w:lang w:val="en-GB" w:eastAsia="de-DE"/>
        </w:rPr>
        <w:t>Recognizing the key role of water and sanitation in protection of public health, socio-economic development and gender empowerment, the Government of Rwanda has committed itself to reaching very ambitious targets in water supply and sanitation, with the vision to attain 100% service coverage by 2017/2018 as per EDPRS 2. The importance of adequate water supply and sanitation services as drivers for social and economic development, poverty reduction and public health is also fully acknowledged in Rwanda’s flagship policy documents and political goals.</w:t>
      </w:r>
    </w:p>
    <w:p w:rsidR="00DD3F55" w:rsidRPr="00DD3F55" w:rsidRDefault="00DD3F55" w:rsidP="00DD3F55">
      <w:pPr>
        <w:tabs>
          <w:tab w:val="left" w:pos="2258"/>
        </w:tabs>
        <w:spacing w:after="0" w:line="240" w:lineRule="auto"/>
        <w:jc w:val="both"/>
        <w:rPr>
          <w:rFonts w:ascii="Arial" w:hAnsi="Arial" w:cs="Arial"/>
          <w:lang w:val="en-GB" w:eastAsia="de-DE"/>
        </w:rPr>
      </w:pPr>
    </w:p>
    <w:p w:rsidR="00DD3F55" w:rsidRPr="00DD3F55" w:rsidRDefault="00DD3F55" w:rsidP="00DD3F55">
      <w:pPr>
        <w:tabs>
          <w:tab w:val="left" w:pos="2258"/>
        </w:tabs>
        <w:spacing w:after="0" w:line="240" w:lineRule="auto"/>
        <w:jc w:val="both"/>
        <w:rPr>
          <w:rFonts w:ascii="Arial" w:hAnsi="Arial" w:cs="Arial"/>
          <w:lang w:val="en-GB" w:eastAsia="de-DE"/>
        </w:rPr>
      </w:pPr>
      <w:r w:rsidRPr="00DD3F55">
        <w:rPr>
          <w:rFonts w:ascii="Arial" w:hAnsi="Arial" w:cs="Arial"/>
          <w:lang w:val="en-GB" w:eastAsia="de-DE"/>
        </w:rPr>
        <w:t xml:space="preserve">In order to achieve the overall water and sanitation sector goals, the Government of Rwanda adopted the National Policy and Strategy for Water Supply and Sanitation Services in 2010. The Policy presents the sector’s approach on how to achieve the Vision 2020, MDGs and EDPRS objectives and breaks them down into concrete principles, objectives and statements through effective coordination among  all the key players including, in particular, the Districts, the Ministry of Health, Ministry of Local Government, Ministry of Education, Ministry of Natural Resources, Water and Sanitation Corporation (WASAC Ltd) the Rwanda Utilities Regulatory Agency (RURA), Private Sector, Civil Society and Development Partners. </w:t>
      </w:r>
    </w:p>
    <w:p w:rsidR="00DD3F55" w:rsidRDefault="00DD3F55" w:rsidP="00DD3F55">
      <w:pPr>
        <w:tabs>
          <w:tab w:val="left" w:pos="2258"/>
        </w:tabs>
        <w:spacing w:after="0" w:line="240" w:lineRule="auto"/>
        <w:jc w:val="both"/>
        <w:rPr>
          <w:rFonts w:ascii="Arial" w:hAnsi="Arial" w:cs="Arial"/>
          <w:lang w:val="en-GB" w:eastAsia="de-DE"/>
        </w:rPr>
      </w:pPr>
    </w:p>
    <w:p w:rsidR="00DD3F55" w:rsidRDefault="00DD3F55" w:rsidP="00DD3F55">
      <w:pPr>
        <w:tabs>
          <w:tab w:val="left" w:pos="2258"/>
        </w:tabs>
        <w:spacing w:after="0" w:line="240" w:lineRule="auto"/>
        <w:jc w:val="both"/>
        <w:rPr>
          <w:rFonts w:ascii="Arial" w:hAnsi="Arial" w:cs="Arial"/>
          <w:lang w:val="en-GB" w:eastAsia="de-DE"/>
        </w:rPr>
      </w:pPr>
    </w:p>
    <w:p w:rsidR="00DD3F55" w:rsidRPr="00DD3F55" w:rsidRDefault="00DD3F55" w:rsidP="00DD3F55">
      <w:pPr>
        <w:pStyle w:val="Default"/>
        <w:numPr>
          <w:ilvl w:val="0"/>
          <w:numId w:val="3"/>
        </w:numPr>
        <w:jc w:val="both"/>
        <w:rPr>
          <w:rFonts w:ascii="Arial" w:hAnsi="Arial" w:cs="Arial"/>
          <w:b/>
          <w:color w:val="auto"/>
          <w:sz w:val="22"/>
          <w:szCs w:val="22"/>
          <w:lang w:val="en-GB" w:eastAsia="de-DE"/>
        </w:rPr>
      </w:pPr>
      <w:r w:rsidRPr="00DD3F55">
        <w:rPr>
          <w:rFonts w:ascii="Arial" w:hAnsi="Arial" w:cs="Arial"/>
          <w:b/>
          <w:color w:val="auto"/>
          <w:sz w:val="22"/>
          <w:szCs w:val="22"/>
          <w:lang w:val="en-GB" w:eastAsia="de-DE"/>
        </w:rPr>
        <w:t xml:space="preserve">Rationale for updating of the 2010 Policy and Strategy </w:t>
      </w:r>
    </w:p>
    <w:p w:rsidR="00DD3F55" w:rsidRPr="00DD3F55" w:rsidRDefault="00DD3F55" w:rsidP="00DD3F55">
      <w:pPr>
        <w:widowControl w:val="0"/>
        <w:spacing w:after="0" w:line="240" w:lineRule="auto"/>
        <w:jc w:val="both"/>
        <w:rPr>
          <w:rFonts w:ascii="Arial" w:hAnsi="Arial" w:cs="Arial"/>
          <w:lang w:val="en-GB" w:eastAsia="de-DE"/>
        </w:rPr>
      </w:pPr>
      <w:r w:rsidRPr="00DD3F55">
        <w:rPr>
          <w:rFonts w:ascii="Arial" w:hAnsi="Arial" w:cs="Arial"/>
          <w:lang w:val="en-GB" w:eastAsia="de-DE"/>
        </w:rPr>
        <w:t>The water and sanitation sector context in Rwanda has changed considerably since the adoption of the current National Policy and Strategy for Water Supply and Sanitation Services in 2010 which set the target 100% coverage of rural and urban water supply by 2020 and 2012, respectively and 100% coverage of household sanitation by 2020.  The EDPRS 2, which was adapted after the approval of the Policy, has set the targets of attaining 100% water and sanitation service coverage by 2017/2018.  Major institutional reforms have also been implemented place since then. RECO and RWASCO and EWSA Ltd are no longer in existence. The implementing agency in water and sanitation sector is Water and Sanitation Corporation (WASAC ltd) which was separated from Energy Group.</w:t>
      </w:r>
    </w:p>
    <w:p w:rsidR="00DD3F55" w:rsidRPr="00DD3F55" w:rsidRDefault="00DD3F55" w:rsidP="00DD3F55">
      <w:pPr>
        <w:widowControl w:val="0"/>
        <w:spacing w:after="0" w:line="240" w:lineRule="auto"/>
        <w:jc w:val="both"/>
        <w:rPr>
          <w:rFonts w:ascii="Arial" w:hAnsi="Arial" w:cs="Arial"/>
          <w:lang w:val="en-GB" w:eastAsia="de-DE"/>
        </w:rPr>
      </w:pPr>
    </w:p>
    <w:p w:rsidR="00DD3F55" w:rsidRPr="00DD3F55" w:rsidRDefault="00DD3F55" w:rsidP="00DD3F55">
      <w:pPr>
        <w:widowControl w:val="0"/>
        <w:spacing w:after="0" w:line="240" w:lineRule="auto"/>
        <w:jc w:val="both"/>
        <w:rPr>
          <w:rFonts w:ascii="Arial" w:hAnsi="Arial" w:cs="Arial"/>
          <w:lang w:val="en-GB" w:eastAsia="de-DE"/>
        </w:rPr>
      </w:pPr>
      <w:r w:rsidRPr="00DD3F55">
        <w:rPr>
          <w:rFonts w:ascii="Arial" w:hAnsi="Arial" w:cs="Arial"/>
          <w:lang w:val="en-GB" w:eastAsia="de-DE"/>
        </w:rPr>
        <w:t xml:space="preserve">Moreover, several of the targets set in the </w:t>
      </w:r>
      <w:r w:rsidR="007C3AEC">
        <w:rPr>
          <w:rFonts w:ascii="Arial" w:hAnsi="Arial" w:cs="Arial"/>
          <w:lang w:val="en-GB" w:eastAsia="de-DE"/>
        </w:rPr>
        <w:t xml:space="preserve">current </w:t>
      </w:r>
      <w:r w:rsidRPr="00DD3F55">
        <w:rPr>
          <w:rFonts w:ascii="Arial" w:hAnsi="Arial" w:cs="Arial"/>
          <w:lang w:val="en-GB" w:eastAsia="de-DE"/>
        </w:rPr>
        <w:t xml:space="preserve">Policy need to be critically assessed and revised, based on the current performance. Table 1 presents example of the targets that need revision given the EDPRS 2 targets and progress since adoption of the Policy. </w:t>
      </w:r>
    </w:p>
    <w:p w:rsidR="00DD3F55" w:rsidRPr="00DD3F55" w:rsidRDefault="00DD3F55" w:rsidP="00DD3F55">
      <w:pPr>
        <w:widowControl w:val="0"/>
        <w:spacing w:after="0" w:line="240" w:lineRule="auto"/>
        <w:jc w:val="both"/>
        <w:rPr>
          <w:rFonts w:ascii="Arial" w:hAnsi="Arial" w:cs="Arial"/>
          <w:lang w:val="en-GB" w:eastAsia="de-DE"/>
        </w:rPr>
      </w:pPr>
    </w:p>
    <w:p w:rsidR="00DD3F55" w:rsidRPr="00DD3F55" w:rsidRDefault="00DD3F55" w:rsidP="00DD3F55">
      <w:pPr>
        <w:widowControl w:val="0"/>
        <w:spacing w:after="0" w:line="240" w:lineRule="auto"/>
        <w:jc w:val="both"/>
        <w:rPr>
          <w:rFonts w:ascii="Arial" w:hAnsi="Arial" w:cs="Arial"/>
          <w:lang w:val="en-GB" w:eastAsia="de-DE"/>
        </w:rPr>
      </w:pPr>
    </w:p>
    <w:p w:rsidR="00DD3F55" w:rsidRPr="00DD3F55" w:rsidRDefault="00DD3F55" w:rsidP="00DD3F55">
      <w:pPr>
        <w:widowControl w:val="0"/>
        <w:spacing w:after="0" w:line="240" w:lineRule="auto"/>
        <w:jc w:val="both"/>
        <w:rPr>
          <w:rFonts w:ascii="Arial" w:hAnsi="Arial" w:cs="Arial"/>
          <w:lang w:val="en-GB" w:eastAsia="de-DE"/>
        </w:rPr>
      </w:pPr>
    </w:p>
    <w:p w:rsidR="00DD3F55" w:rsidRPr="00DD3F55" w:rsidRDefault="00DD3F55" w:rsidP="00DD3F55">
      <w:pPr>
        <w:widowControl w:val="0"/>
        <w:spacing w:after="0" w:line="240" w:lineRule="auto"/>
        <w:jc w:val="both"/>
        <w:rPr>
          <w:rFonts w:ascii="Arial" w:hAnsi="Arial" w:cs="Arial"/>
          <w:lang w:val="en-GB" w:eastAsia="de-DE"/>
        </w:rPr>
      </w:pPr>
    </w:p>
    <w:p w:rsidR="00DD3F55" w:rsidRPr="00DD3F55" w:rsidRDefault="00DD3F55" w:rsidP="00DD3F55">
      <w:pPr>
        <w:widowControl w:val="0"/>
        <w:spacing w:after="0" w:line="240" w:lineRule="auto"/>
        <w:jc w:val="both"/>
        <w:rPr>
          <w:rFonts w:ascii="Arial" w:hAnsi="Arial" w:cs="Arial"/>
          <w:b/>
          <w:lang w:val="en-GB" w:eastAsia="de-DE"/>
        </w:rPr>
      </w:pPr>
      <w:r w:rsidRPr="00DD3F55">
        <w:rPr>
          <w:rFonts w:ascii="Arial" w:hAnsi="Arial" w:cs="Arial"/>
          <w:b/>
          <w:lang w:val="en-GB" w:eastAsia="de-DE"/>
        </w:rPr>
        <w:t>Table 1.  Water and sanitation related targets as per 2010 Policy</w:t>
      </w:r>
      <w:r>
        <w:rPr>
          <w:rFonts w:ascii="Arial" w:hAnsi="Arial" w:cs="Arial"/>
          <w:b/>
          <w:lang w:val="en-GB" w:eastAsia="de-DE"/>
        </w:rPr>
        <w:t xml:space="preserve"> and Strategy </w:t>
      </w:r>
    </w:p>
    <w:tbl>
      <w:tblPr>
        <w:tblStyle w:val="TableGrid"/>
        <w:tblW w:w="0" w:type="auto"/>
        <w:tblLook w:val="04A0" w:firstRow="1" w:lastRow="0" w:firstColumn="1" w:lastColumn="0" w:noHBand="0" w:noVBand="1"/>
      </w:tblPr>
      <w:tblGrid>
        <w:gridCol w:w="2065"/>
        <w:gridCol w:w="1274"/>
        <w:gridCol w:w="1117"/>
        <w:gridCol w:w="1243"/>
        <w:gridCol w:w="1316"/>
        <w:gridCol w:w="2001"/>
      </w:tblGrid>
      <w:tr w:rsidR="00DD3F55" w:rsidRPr="00DD3F55" w:rsidTr="00DD3F55">
        <w:trPr>
          <w:trHeight w:val="287"/>
        </w:trPr>
        <w:tc>
          <w:tcPr>
            <w:tcW w:w="2065" w:type="dxa"/>
            <w:vMerge w:val="restart"/>
          </w:tcPr>
          <w:p w:rsidR="00DD3F55" w:rsidRPr="00DD3F55" w:rsidRDefault="00DD3F55" w:rsidP="00DD3F55">
            <w:pPr>
              <w:widowControl w:val="0"/>
              <w:jc w:val="both"/>
              <w:rPr>
                <w:rFonts w:ascii="Arial" w:hAnsi="Arial" w:cs="Arial"/>
                <w:lang w:val="en-GB" w:eastAsia="de-DE"/>
              </w:rPr>
            </w:pPr>
            <w:r w:rsidRPr="00DD3F55">
              <w:rPr>
                <w:rFonts w:ascii="Arial" w:hAnsi="Arial" w:cs="Arial"/>
                <w:lang w:val="en-GB" w:eastAsia="de-DE"/>
              </w:rPr>
              <w:t xml:space="preserve">Key performance indicator </w:t>
            </w:r>
          </w:p>
        </w:tc>
        <w:tc>
          <w:tcPr>
            <w:tcW w:w="1274" w:type="dxa"/>
            <w:vMerge w:val="restart"/>
          </w:tcPr>
          <w:p w:rsidR="00DD3F55" w:rsidRPr="00DD3F55" w:rsidRDefault="00DD3F55" w:rsidP="00DD3F55">
            <w:pPr>
              <w:widowControl w:val="0"/>
              <w:jc w:val="both"/>
              <w:rPr>
                <w:rFonts w:ascii="Arial" w:hAnsi="Arial" w:cs="Arial"/>
                <w:lang w:val="en-GB" w:eastAsia="de-DE"/>
              </w:rPr>
            </w:pPr>
            <w:r w:rsidRPr="00DD3F55">
              <w:rPr>
                <w:rFonts w:ascii="Arial" w:hAnsi="Arial" w:cs="Arial"/>
                <w:lang w:val="en-GB" w:eastAsia="de-DE"/>
              </w:rPr>
              <w:t xml:space="preserve">Baseline </w:t>
            </w:r>
          </w:p>
        </w:tc>
        <w:tc>
          <w:tcPr>
            <w:tcW w:w="3676" w:type="dxa"/>
            <w:gridSpan w:val="3"/>
          </w:tcPr>
          <w:p w:rsidR="00DD3F55" w:rsidRPr="00DD3F55" w:rsidRDefault="00DD3F55" w:rsidP="007C3AEC">
            <w:pPr>
              <w:widowControl w:val="0"/>
              <w:jc w:val="both"/>
              <w:rPr>
                <w:rFonts w:ascii="Arial" w:hAnsi="Arial" w:cs="Arial"/>
                <w:lang w:val="en-GB" w:eastAsia="de-DE"/>
              </w:rPr>
            </w:pPr>
            <w:r w:rsidRPr="00DD3F55">
              <w:rPr>
                <w:rFonts w:ascii="Arial" w:hAnsi="Arial" w:cs="Arial"/>
                <w:lang w:val="en-GB" w:eastAsia="de-DE"/>
              </w:rPr>
              <w:t xml:space="preserve">Target set in the </w:t>
            </w:r>
            <w:r w:rsidR="007C3AEC">
              <w:rPr>
                <w:rFonts w:ascii="Arial" w:hAnsi="Arial" w:cs="Arial"/>
                <w:lang w:val="en-GB" w:eastAsia="de-DE"/>
              </w:rPr>
              <w:t xml:space="preserve">current </w:t>
            </w:r>
            <w:r w:rsidRPr="00DD3F55">
              <w:rPr>
                <w:rFonts w:ascii="Arial" w:hAnsi="Arial" w:cs="Arial"/>
                <w:lang w:val="en-GB" w:eastAsia="de-DE"/>
              </w:rPr>
              <w:t xml:space="preserve">Policy </w:t>
            </w:r>
          </w:p>
        </w:tc>
        <w:tc>
          <w:tcPr>
            <w:tcW w:w="2001" w:type="dxa"/>
          </w:tcPr>
          <w:p w:rsidR="00DD3F55" w:rsidRPr="00DD3F55" w:rsidRDefault="00DD3F55" w:rsidP="00DD3F55">
            <w:pPr>
              <w:widowControl w:val="0"/>
              <w:jc w:val="both"/>
              <w:rPr>
                <w:rFonts w:ascii="Arial" w:hAnsi="Arial" w:cs="Arial"/>
                <w:lang w:val="en-GB" w:eastAsia="de-DE"/>
              </w:rPr>
            </w:pPr>
            <w:r w:rsidRPr="00DD3F55">
              <w:rPr>
                <w:rFonts w:ascii="Arial" w:hAnsi="Arial" w:cs="Arial"/>
                <w:lang w:val="en-GB" w:eastAsia="de-DE"/>
              </w:rPr>
              <w:t>Latest status-2010/11 (Source: EICV 3)</w:t>
            </w:r>
          </w:p>
        </w:tc>
      </w:tr>
      <w:tr w:rsidR="00DD3F55" w:rsidRPr="00DD3F55" w:rsidTr="00DD3F55">
        <w:tc>
          <w:tcPr>
            <w:tcW w:w="2065" w:type="dxa"/>
            <w:vMerge/>
          </w:tcPr>
          <w:p w:rsidR="00DD3F55" w:rsidRPr="00DD3F55" w:rsidRDefault="00DD3F55" w:rsidP="00DD3F55">
            <w:pPr>
              <w:widowControl w:val="0"/>
              <w:jc w:val="both"/>
              <w:rPr>
                <w:rFonts w:ascii="Arial" w:hAnsi="Arial" w:cs="Arial"/>
                <w:lang w:val="en-GB" w:eastAsia="de-DE"/>
              </w:rPr>
            </w:pPr>
          </w:p>
        </w:tc>
        <w:tc>
          <w:tcPr>
            <w:tcW w:w="1274" w:type="dxa"/>
            <w:vMerge/>
          </w:tcPr>
          <w:p w:rsidR="00DD3F55" w:rsidRPr="00DD3F55" w:rsidRDefault="00DD3F55" w:rsidP="00DD3F55">
            <w:pPr>
              <w:widowControl w:val="0"/>
              <w:jc w:val="both"/>
              <w:rPr>
                <w:rFonts w:ascii="Arial" w:hAnsi="Arial" w:cs="Arial"/>
                <w:lang w:val="en-GB" w:eastAsia="de-DE"/>
              </w:rPr>
            </w:pPr>
          </w:p>
        </w:tc>
        <w:tc>
          <w:tcPr>
            <w:tcW w:w="1117" w:type="dxa"/>
          </w:tcPr>
          <w:p w:rsidR="00DD3F55" w:rsidRPr="00DD3F55" w:rsidRDefault="00DD3F55" w:rsidP="00DD3F55">
            <w:pPr>
              <w:widowControl w:val="0"/>
              <w:jc w:val="both"/>
              <w:rPr>
                <w:rFonts w:ascii="Arial" w:hAnsi="Arial" w:cs="Arial"/>
                <w:lang w:val="en-GB" w:eastAsia="de-DE"/>
              </w:rPr>
            </w:pPr>
            <w:r w:rsidRPr="00DD3F55">
              <w:rPr>
                <w:rFonts w:ascii="Arial" w:hAnsi="Arial" w:cs="Arial"/>
                <w:lang w:val="en-GB" w:eastAsia="de-DE"/>
              </w:rPr>
              <w:t>2010/11</w:t>
            </w:r>
          </w:p>
        </w:tc>
        <w:tc>
          <w:tcPr>
            <w:tcW w:w="1243" w:type="dxa"/>
          </w:tcPr>
          <w:p w:rsidR="00DD3F55" w:rsidRPr="00DD3F55" w:rsidRDefault="00DD3F55" w:rsidP="00DD3F55">
            <w:pPr>
              <w:widowControl w:val="0"/>
              <w:jc w:val="both"/>
              <w:rPr>
                <w:rFonts w:ascii="Arial" w:hAnsi="Arial" w:cs="Arial"/>
                <w:lang w:val="en-GB" w:eastAsia="de-DE"/>
              </w:rPr>
            </w:pPr>
            <w:r w:rsidRPr="00DD3F55">
              <w:rPr>
                <w:rFonts w:ascii="Arial" w:hAnsi="Arial" w:cs="Arial"/>
                <w:lang w:val="en-GB" w:eastAsia="de-DE"/>
              </w:rPr>
              <w:t>2012/13</w:t>
            </w:r>
          </w:p>
        </w:tc>
        <w:tc>
          <w:tcPr>
            <w:tcW w:w="1316" w:type="dxa"/>
          </w:tcPr>
          <w:p w:rsidR="00DD3F55" w:rsidRPr="00DD3F55" w:rsidRDefault="00DD3F55" w:rsidP="00DD3F55">
            <w:pPr>
              <w:widowControl w:val="0"/>
              <w:jc w:val="both"/>
              <w:rPr>
                <w:rFonts w:ascii="Arial" w:hAnsi="Arial" w:cs="Arial"/>
                <w:lang w:val="en-GB" w:eastAsia="de-DE"/>
              </w:rPr>
            </w:pPr>
            <w:r w:rsidRPr="00DD3F55">
              <w:rPr>
                <w:rFonts w:ascii="Arial" w:hAnsi="Arial" w:cs="Arial"/>
                <w:lang w:val="en-GB" w:eastAsia="de-DE"/>
              </w:rPr>
              <w:t>2013/14</w:t>
            </w:r>
          </w:p>
        </w:tc>
        <w:tc>
          <w:tcPr>
            <w:tcW w:w="2001" w:type="dxa"/>
          </w:tcPr>
          <w:p w:rsidR="00DD3F55" w:rsidRPr="00DD3F55" w:rsidRDefault="00DD3F55" w:rsidP="00DD3F55">
            <w:pPr>
              <w:widowControl w:val="0"/>
              <w:jc w:val="both"/>
              <w:rPr>
                <w:rFonts w:ascii="Arial" w:hAnsi="Arial" w:cs="Arial"/>
                <w:lang w:val="en-GB" w:eastAsia="de-DE"/>
              </w:rPr>
            </w:pPr>
          </w:p>
        </w:tc>
      </w:tr>
      <w:tr w:rsidR="00DD3F55" w:rsidRPr="00DD3F55" w:rsidTr="00DD3F55">
        <w:tc>
          <w:tcPr>
            <w:tcW w:w="2065" w:type="dxa"/>
          </w:tcPr>
          <w:p w:rsidR="00DD3F55" w:rsidRPr="00DD3F55" w:rsidRDefault="00DD3F55" w:rsidP="00DD3F55">
            <w:pPr>
              <w:widowControl w:val="0"/>
              <w:jc w:val="both"/>
              <w:rPr>
                <w:rFonts w:ascii="Arial" w:hAnsi="Arial" w:cs="Arial"/>
                <w:lang w:val="en-GB" w:eastAsia="de-DE"/>
              </w:rPr>
            </w:pPr>
            <w:r w:rsidRPr="00DD3F55">
              <w:rPr>
                <w:rFonts w:ascii="Arial" w:hAnsi="Arial" w:cs="Arial"/>
                <w:lang w:val="en-GB" w:eastAsia="de-DE"/>
              </w:rPr>
              <w:t>% of rural population within 500 meters of an improved water source</w:t>
            </w:r>
          </w:p>
        </w:tc>
        <w:tc>
          <w:tcPr>
            <w:tcW w:w="1274" w:type="dxa"/>
          </w:tcPr>
          <w:p w:rsidR="00DD3F55" w:rsidRPr="00DD3F55" w:rsidRDefault="00DD3F55" w:rsidP="00DD3F55">
            <w:pPr>
              <w:widowControl w:val="0"/>
              <w:jc w:val="both"/>
              <w:rPr>
                <w:rFonts w:ascii="Arial" w:hAnsi="Arial" w:cs="Arial"/>
                <w:lang w:val="en-GB" w:eastAsia="de-DE"/>
              </w:rPr>
            </w:pPr>
            <w:r w:rsidRPr="00DD3F55">
              <w:rPr>
                <w:rFonts w:ascii="Arial" w:hAnsi="Arial" w:cs="Arial"/>
                <w:lang w:val="en-GB" w:eastAsia="de-DE"/>
              </w:rPr>
              <w:t>71 (2008)</w:t>
            </w:r>
          </w:p>
        </w:tc>
        <w:tc>
          <w:tcPr>
            <w:tcW w:w="1117" w:type="dxa"/>
          </w:tcPr>
          <w:p w:rsidR="00DD3F55" w:rsidRPr="00DD3F55" w:rsidRDefault="00DD3F55" w:rsidP="00DD3F55">
            <w:pPr>
              <w:widowControl w:val="0"/>
              <w:jc w:val="center"/>
              <w:rPr>
                <w:rFonts w:ascii="Arial" w:hAnsi="Arial" w:cs="Arial"/>
                <w:lang w:val="en-GB" w:eastAsia="de-DE"/>
              </w:rPr>
            </w:pPr>
            <w:r w:rsidRPr="00DD3F55">
              <w:rPr>
                <w:rFonts w:ascii="Arial" w:hAnsi="Arial" w:cs="Arial"/>
                <w:lang w:val="en-GB" w:eastAsia="de-DE"/>
              </w:rPr>
              <w:t>81</w:t>
            </w:r>
          </w:p>
        </w:tc>
        <w:tc>
          <w:tcPr>
            <w:tcW w:w="1243" w:type="dxa"/>
          </w:tcPr>
          <w:p w:rsidR="00DD3F55" w:rsidRPr="00DD3F55" w:rsidRDefault="00DD3F55" w:rsidP="00DD3F55">
            <w:pPr>
              <w:widowControl w:val="0"/>
              <w:jc w:val="center"/>
              <w:rPr>
                <w:rFonts w:ascii="Arial" w:hAnsi="Arial" w:cs="Arial"/>
                <w:lang w:val="en-GB" w:eastAsia="de-DE"/>
              </w:rPr>
            </w:pPr>
            <w:r w:rsidRPr="00DD3F55">
              <w:rPr>
                <w:rFonts w:ascii="Arial" w:hAnsi="Arial" w:cs="Arial"/>
                <w:lang w:val="en-GB" w:eastAsia="de-DE"/>
              </w:rPr>
              <w:t>87</w:t>
            </w:r>
          </w:p>
        </w:tc>
        <w:tc>
          <w:tcPr>
            <w:tcW w:w="1316" w:type="dxa"/>
          </w:tcPr>
          <w:p w:rsidR="00DD3F55" w:rsidRPr="00DD3F55" w:rsidRDefault="00DD3F55" w:rsidP="00DD3F55">
            <w:pPr>
              <w:widowControl w:val="0"/>
              <w:jc w:val="center"/>
              <w:rPr>
                <w:rFonts w:ascii="Arial" w:hAnsi="Arial" w:cs="Arial"/>
                <w:lang w:val="en-GB" w:eastAsia="de-DE"/>
              </w:rPr>
            </w:pPr>
            <w:r w:rsidRPr="00DD3F55">
              <w:rPr>
                <w:rFonts w:ascii="Arial" w:hAnsi="Arial" w:cs="Arial"/>
                <w:lang w:val="en-GB" w:eastAsia="de-DE"/>
              </w:rPr>
              <w:t>89</w:t>
            </w:r>
          </w:p>
        </w:tc>
        <w:tc>
          <w:tcPr>
            <w:tcW w:w="2001" w:type="dxa"/>
          </w:tcPr>
          <w:p w:rsidR="00DD3F55" w:rsidRPr="00DD3F55" w:rsidRDefault="00DD3F55" w:rsidP="00DD3F55">
            <w:pPr>
              <w:widowControl w:val="0"/>
              <w:jc w:val="center"/>
              <w:rPr>
                <w:rFonts w:ascii="Arial" w:hAnsi="Arial" w:cs="Arial"/>
                <w:lang w:val="en-GB" w:eastAsia="de-DE"/>
              </w:rPr>
            </w:pPr>
            <w:r w:rsidRPr="00DD3F55">
              <w:rPr>
                <w:rFonts w:ascii="Arial" w:hAnsi="Arial" w:cs="Arial"/>
                <w:lang w:val="en-GB" w:eastAsia="de-DE"/>
              </w:rPr>
              <w:t>72</w:t>
            </w:r>
          </w:p>
        </w:tc>
      </w:tr>
      <w:tr w:rsidR="00DD3F55" w:rsidRPr="00DD3F55" w:rsidTr="00DD3F55">
        <w:tc>
          <w:tcPr>
            <w:tcW w:w="2065" w:type="dxa"/>
          </w:tcPr>
          <w:p w:rsidR="00DD3F55" w:rsidRPr="00DD3F55" w:rsidRDefault="00DD3F55" w:rsidP="00DD3F55">
            <w:pPr>
              <w:widowControl w:val="0"/>
              <w:jc w:val="both"/>
              <w:rPr>
                <w:rFonts w:ascii="Arial" w:hAnsi="Arial" w:cs="Arial"/>
                <w:lang w:val="en-GB" w:eastAsia="de-DE"/>
              </w:rPr>
            </w:pPr>
            <w:r w:rsidRPr="00DD3F55">
              <w:rPr>
                <w:rFonts w:ascii="Arial" w:hAnsi="Arial" w:cs="Arial"/>
                <w:lang w:val="en-GB" w:eastAsia="de-DE"/>
              </w:rPr>
              <w:t>% of urban population within 200 meters of an improved water source</w:t>
            </w:r>
          </w:p>
        </w:tc>
        <w:tc>
          <w:tcPr>
            <w:tcW w:w="1274" w:type="dxa"/>
          </w:tcPr>
          <w:p w:rsidR="00DD3F55" w:rsidRPr="00DD3F55" w:rsidRDefault="00DD3F55" w:rsidP="00DD3F55">
            <w:pPr>
              <w:widowControl w:val="0"/>
              <w:jc w:val="both"/>
              <w:rPr>
                <w:rFonts w:ascii="Arial" w:hAnsi="Arial" w:cs="Arial"/>
                <w:lang w:val="en-GB" w:eastAsia="de-DE"/>
              </w:rPr>
            </w:pPr>
            <w:r w:rsidRPr="00DD3F55">
              <w:rPr>
                <w:rFonts w:ascii="Arial" w:hAnsi="Arial" w:cs="Arial"/>
                <w:lang w:val="en-GB" w:eastAsia="de-DE"/>
              </w:rPr>
              <w:t>76 (2009)</w:t>
            </w:r>
          </w:p>
        </w:tc>
        <w:tc>
          <w:tcPr>
            <w:tcW w:w="1117" w:type="dxa"/>
          </w:tcPr>
          <w:p w:rsidR="00DD3F55" w:rsidRPr="00DD3F55" w:rsidRDefault="00DD3F55" w:rsidP="00DD3F55">
            <w:pPr>
              <w:widowControl w:val="0"/>
              <w:jc w:val="center"/>
              <w:rPr>
                <w:rFonts w:ascii="Arial" w:hAnsi="Arial" w:cs="Arial"/>
                <w:lang w:val="en-GB" w:eastAsia="de-DE"/>
              </w:rPr>
            </w:pPr>
            <w:r w:rsidRPr="00DD3F55">
              <w:rPr>
                <w:rFonts w:ascii="Arial" w:hAnsi="Arial" w:cs="Arial"/>
                <w:lang w:val="en-GB" w:eastAsia="de-DE"/>
              </w:rPr>
              <w:t>80</w:t>
            </w:r>
          </w:p>
        </w:tc>
        <w:tc>
          <w:tcPr>
            <w:tcW w:w="1243" w:type="dxa"/>
          </w:tcPr>
          <w:p w:rsidR="00DD3F55" w:rsidRPr="00DD3F55" w:rsidRDefault="00DD3F55" w:rsidP="00DD3F55">
            <w:pPr>
              <w:widowControl w:val="0"/>
              <w:jc w:val="center"/>
              <w:rPr>
                <w:rFonts w:ascii="Arial" w:hAnsi="Arial" w:cs="Arial"/>
                <w:lang w:val="en-GB" w:eastAsia="de-DE"/>
              </w:rPr>
            </w:pPr>
            <w:r w:rsidRPr="00DD3F55">
              <w:rPr>
                <w:rFonts w:ascii="Arial" w:hAnsi="Arial" w:cs="Arial"/>
                <w:lang w:val="en-GB" w:eastAsia="de-DE"/>
              </w:rPr>
              <w:t>100</w:t>
            </w:r>
          </w:p>
        </w:tc>
        <w:tc>
          <w:tcPr>
            <w:tcW w:w="1316" w:type="dxa"/>
          </w:tcPr>
          <w:p w:rsidR="00DD3F55" w:rsidRPr="00DD3F55" w:rsidRDefault="00DD3F55" w:rsidP="00DD3F55">
            <w:pPr>
              <w:widowControl w:val="0"/>
              <w:jc w:val="center"/>
              <w:rPr>
                <w:rFonts w:ascii="Arial" w:hAnsi="Arial" w:cs="Arial"/>
                <w:lang w:val="en-GB" w:eastAsia="de-DE"/>
              </w:rPr>
            </w:pPr>
            <w:r w:rsidRPr="00DD3F55">
              <w:rPr>
                <w:rFonts w:ascii="Arial" w:hAnsi="Arial" w:cs="Arial"/>
                <w:lang w:val="en-GB" w:eastAsia="de-DE"/>
              </w:rPr>
              <w:t>-</w:t>
            </w:r>
          </w:p>
        </w:tc>
        <w:tc>
          <w:tcPr>
            <w:tcW w:w="2001" w:type="dxa"/>
          </w:tcPr>
          <w:p w:rsidR="00DD3F55" w:rsidRPr="00DD3F55" w:rsidRDefault="00DD3F55" w:rsidP="00DD3F55">
            <w:pPr>
              <w:widowControl w:val="0"/>
              <w:jc w:val="center"/>
              <w:rPr>
                <w:rFonts w:ascii="Arial" w:hAnsi="Arial" w:cs="Arial"/>
                <w:lang w:val="en-GB" w:eastAsia="de-DE"/>
              </w:rPr>
            </w:pPr>
            <w:r w:rsidRPr="00DD3F55">
              <w:rPr>
                <w:rFonts w:ascii="Arial" w:hAnsi="Arial" w:cs="Arial"/>
                <w:lang w:val="en-GB" w:eastAsia="de-DE"/>
              </w:rPr>
              <w:t>86</w:t>
            </w:r>
          </w:p>
        </w:tc>
      </w:tr>
      <w:tr w:rsidR="00DD3F55" w:rsidRPr="00DD3F55" w:rsidTr="00DD3F55">
        <w:tc>
          <w:tcPr>
            <w:tcW w:w="2065" w:type="dxa"/>
          </w:tcPr>
          <w:p w:rsidR="00DD3F55" w:rsidRPr="00DD3F55" w:rsidRDefault="00DD3F55" w:rsidP="00DD3F55">
            <w:pPr>
              <w:widowControl w:val="0"/>
              <w:jc w:val="both"/>
              <w:rPr>
                <w:rFonts w:ascii="Arial" w:hAnsi="Arial" w:cs="Arial"/>
                <w:lang w:val="en-GB" w:eastAsia="de-DE"/>
              </w:rPr>
            </w:pPr>
            <w:r w:rsidRPr="00DD3F55">
              <w:rPr>
                <w:rFonts w:ascii="Arial" w:hAnsi="Arial" w:cs="Arial"/>
                <w:lang w:val="en-GB" w:eastAsia="de-DE"/>
              </w:rPr>
              <w:t>% of households with improved sanitation facilities</w:t>
            </w:r>
          </w:p>
        </w:tc>
        <w:tc>
          <w:tcPr>
            <w:tcW w:w="1274" w:type="dxa"/>
          </w:tcPr>
          <w:p w:rsidR="00DD3F55" w:rsidRPr="00DD3F55" w:rsidRDefault="00DD3F55" w:rsidP="00DD3F55">
            <w:pPr>
              <w:widowControl w:val="0"/>
              <w:jc w:val="both"/>
              <w:rPr>
                <w:rFonts w:ascii="Arial" w:hAnsi="Arial" w:cs="Arial"/>
                <w:lang w:val="en-GB" w:eastAsia="de-DE"/>
              </w:rPr>
            </w:pPr>
            <w:r w:rsidRPr="00DD3F55">
              <w:rPr>
                <w:rFonts w:ascii="Arial" w:hAnsi="Arial" w:cs="Arial"/>
                <w:lang w:val="en-GB" w:eastAsia="de-DE"/>
              </w:rPr>
              <w:t>45 (2009)</w:t>
            </w:r>
          </w:p>
        </w:tc>
        <w:tc>
          <w:tcPr>
            <w:tcW w:w="1117" w:type="dxa"/>
          </w:tcPr>
          <w:p w:rsidR="00DD3F55" w:rsidRPr="00DD3F55" w:rsidRDefault="00DD3F55" w:rsidP="00DD3F55">
            <w:pPr>
              <w:widowControl w:val="0"/>
              <w:jc w:val="center"/>
              <w:rPr>
                <w:rFonts w:ascii="Arial" w:hAnsi="Arial" w:cs="Arial"/>
                <w:lang w:val="en-GB" w:eastAsia="de-DE"/>
              </w:rPr>
            </w:pPr>
            <w:r w:rsidRPr="00DD3F55">
              <w:rPr>
                <w:rFonts w:ascii="Arial" w:hAnsi="Arial" w:cs="Arial"/>
                <w:lang w:val="en-GB" w:eastAsia="de-DE"/>
              </w:rPr>
              <w:t>55</w:t>
            </w:r>
          </w:p>
        </w:tc>
        <w:tc>
          <w:tcPr>
            <w:tcW w:w="1243" w:type="dxa"/>
          </w:tcPr>
          <w:p w:rsidR="00DD3F55" w:rsidRPr="00DD3F55" w:rsidRDefault="00DD3F55" w:rsidP="00DD3F55">
            <w:pPr>
              <w:widowControl w:val="0"/>
              <w:jc w:val="center"/>
              <w:rPr>
                <w:rFonts w:ascii="Arial" w:hAnsi="Arial" w:cs="Arial"/>
                <w:lang w:val="en-GB" w:eastAsia="de-DE"/>
              </w:rPr>
            </w:pPr>
            <w:r w:rsidRPr="00DD3F55">
              <w:rPr>
                <w:rFonts w:ascii="Arial" w:hAnsi="Arial" w:cs="Arial"/>
                <w:lang w:val="en-GB" w:eastAsia="de-DE"/>
              </w:rPr>
              <w:t>65</w:t>
            </w:r>
          </w:p>
        </w:tc>
        <w:tc>
          <w:tcPr>
            <w:tcW w:w="1316" w:type="dxa"/>
          </w:tcPr>
          <w:p w:rsidR="00DD3F55" w:rsidRPr="00DD3F55" w:rsidRDefault="00DD3F55" w:rsidP="00DD3F55">
            <w:pPr>
              <w:widowControl w:val="0"/>
              <w:jc w:val="center"/>
              <w:rPr>
                <w:rFonts w:ascii="Arial" w:hAnsi="Arial" w:cs="Arial"/>
                <w:lang w:val="en-GB" w:eastAsia="de-DE"/>
              </w:rPr>
            </w:pPr>
            <w:r w:rsidRPr="00DD3F55">
              <w:rPr>
                <w:rFonts w:ascii="Arial" w:hAnsi="Arial" w:cs="Arial"/>
                <w:lang w:val="en-GB" w:eastAsia="de-DE"/>
              </w:rPr>
              <w:t>70</w:t>
            </w:r>
          </w:p>
        </w:tc>
        <w:tc>
          <w:tcPr>
            <w:tcW w:w="2001" w:type="dxa"/>
          </w:tcPr>
          <w:p w:rsidR="00DD3F55" w:rsidRPr="00DD3F55" w:rsidRDefault="00DD3F55" w:rsidP="00DD3F55">
            <w:pPr>
              <w:widowControl w:val="0"/>
              <w:jc w:val="center"/>
              <w:rPr>
                <w:rFonts w:ascii="Arial" w:hAnsi="Arial" w:cs="Arial"/>
                <w:lang w:val="en-GB" w:eastAsia="de-DE"/>
              </w:rPr>
            </w:pPr>
            <w:r w:rsidRPr="00DD3F55">
              <w:rPr>
                <w:rFonts w:ascii="Arial" w:hAnsi="Arial" w:cs="Arial"/>
                <w:lang w:val="en-GB" w:eastAsia="de-DE"/>
              </w:rPr>
              <w:t>75</w:t>
            </w:r>
          </w:p>
        </w:tc>
      </w:tr>
    </w:tbl>
    <w:p w:rsidR="00DD3F55" w:rsidRPr="00DD3F55" w:rsidRDefault="00DD3F55" w:rsidP="00DD3F55">
      <w:pPr>
        <w:widowControl w:val="0"/>
        <w:spacing w:after="0" w:line="240" w:lineRule="auto"/>
        <w:jc w:val="both"/>
        <w:rPr>
          <w:rFonts w:ascii="Arial" w:hAnsi="Arial" w:cs="Arial"/>
          <w:lang w:val="en-GB" w:eastAsia="de-DE"/>
        </w:rPr>
      </w:pPr>
    </w:p>
    <w:p w:rsidR="00DD3F55" w:rsidRPr="00DD3F55" w:rsidRDefault="00DD3F55" w:rsidP="00DD3F55">
      <w:pPr>
        <w:widowControl w:val="0"/>
        <w:spacing w:after="0" w:line="240" w:lineRule="auto"/>
        <w:jc w:val="both"/>
        <w:rPr>
          <w:rFonts w:ascii="Arial" w:hAnsi="Arial" w:cs="Arial"/>
          <w:lang w:val="en-GB" w:eastAsia="de-DE"/>
        </w:rPr>
      </w:pPr>
      <w:r w:rsidRPr="00DD3F55">
        <w:rPr>
          <w:rFonts w:ascii="Arial" w:hAnsi="Arial" w:cs="Arial"/>
          <w:lang w:val="en-GB" w:eastAsia="de-DE"/>
        </w:rPr>
        <w:t>As can be seen from Table 1, despite the notable progress made since the adaption of the Policy</w:t>
      </w:r>
      <w:r>
        <w:rPr>
          <w:rFonts w:ascii="Arial" w:hAnsi="Arial" w:cs="Arial"/>
          <w:lang w:val="en-GB" w:eastAsia="de-DE"/>
        </w:rPr>
        <w:t xml:space="preserve"> and Strategy in 2010</w:t>
      </w:r>
      <w:r w:rsidRPr="00DD3F55">
        <w:rPr>
          <w:rFonts w:ascii="Arial" w:hAnsi="Arial" w:cs="Arial"/>
          <w:lang w:val="en-GB" w:eastAsia="de-DE"/>
        </w:rPr>
        <w:t xml:space="preserve">, the country is not on track toward meeting the stipulated drinking water supply targets. There are also large differentials in access levels across the country - the water supply access levels in rural areas is significantly lower than that in urban areas.  Huge disparities also exist between, and even within, individual districts. There are also emerging concerns with regard to quality, functionality and reliability of drinking water supplies, especially in rural areas. Rwanda’s natural resources, particularly water sources, also remain highly vulnerable to climate change effects. </w:t>
      </w:r>
    </w:p>
    <w:p w:rsidR="00DD3F55" w:rsidRPr="00DD3F55" w:rsidRDefault="00DD3F55" w:rsidP="00DD3F55">
      <w:pPr>
        <w:widowControl w:val="0"/>
        <w:spacing w:after="0" w:line="240" w:lineRule="auto"/>
        <w:jc w:val="both"/>
        <w:rPr>
          <w:rFonts w:ascii="Arial" w:hAnsi="Arial" w:cs="Arial"/>
          <w:lang w:val="en-GB" w:eastAsia="de-DE"/>
        </w:rPr>
      </w:pPr>
    </w:p>
    <w:p w:rsidR="00DD3F55" w:rsidRPr="00DD3F55" w:rsidRDefault="00DD3F55" w:rsidP="00DD3F55">
      <w:pPr>
        <w:widowControl w:val="0"/>
        <w:spacing w:after="0" w:line="240" w:lineRule="auto"/>
        <w:jc w:val="both"/>
        <w:rPr>
          <w:rFonts w:ascii="Arial" w:hAnsi="Arial" w:cs="Arial"/>
          <w:lang w:val="en-GB" w:eastAsia="de-DE"/>
        </w:rPr>
      </w:pPr>
      <w:r w:rsidRPr="00DD3F55">
        <w:rPr>
          <w:rFonts w:ascii="Arial" w:hAnsi="Arial" w:cs="Arial"/>
          <w:lang w:val="en-GB" w:eastAsia="de-DE"/>
        </w:rPr>
        <w:t>Table 1 also shows that remarkable progress has been made in terms of meeting the stipulated target on household sanitation.  Field assessments, however, suggest that most of the existing household latrines are unsanitary and needs to be improved.  The prevalence of hygiene practices is also very low - only 10 percent of the households in Rwanda have a place for hand washing (Source: DHS -2010).  Among th</w:t>
      </w:r>
      <w:r w:rsidR="007C3AEC">
        <w:rPr>
          <w:rFonts w:ascii="Arial" w:hAnsi="Arial" w:cs="Arial"/>
          <w:lang w:val="en-GB" w:eastAsia="de-DE"/>
        </w:rPr>
        <w:t>ese</w:t>
      </w:r>
      <w:r w:rsidRPr="00DD3F55">
        <w:rPr>
          <w:rFonts w:ascii="Arial" w:hAnsi="Arial" w:cs="Arial"/>
          <w:lang w:val="en-GB" w:eastAsia="de-DE"/>
        </w:rPr>
        <w:t xml:space="preserve"> households, one in five (21 percent) has water and soap for hand washing. The coverage of school WASH facilities also remains very low i.e. 37%, 52% and 37% of primary schools in Rwanda have access to improved water, improved sanitation and hand-washing facility, respectively .</w:t>
      </w:r>
    </w:p>
    <w:p w:rsidR="00DD3F55" w:rsidRPr="00DD3F55" w:rsidRDefault="00DD3F55" w:rsidP="00DD3F55">
      <w:pPr>
        <w:widowControl w:val="0"/>
        <w:spacing w:after="0" w:line="240" w:lineRule="auto"/>
        <w:jc w:val="both"/>
        <w:rPr>
          <w:rFonts w:ascii="Arial" w:hAnsi="Arial" w:cs="Arial"/>
          <w:lang w:val="en-GB" w:eastAsia="de-DE"/>
        </w:rPr>
      </w:pPr>
    </w:p>
    <w:p w:rsidR="00DD3F55" w:rsidRPr="00DD3F55" w:rsidRDefault="00DD3F55" w:rsidP="00DD3F55">
      <w:pPr>
        <w:widowControl w:val="0"/>
        <w:spacing w:after="0" w:line="240" w:lineRule="auto"/>
        <w:jc w:val="both"/>
        <w:rPr>
          <w:rFonts w:ascii="Arial" w:hAnsi="Arial" w:cs="Arial"/>
          <w:lang w:val="en-GB" w:eastAsia="de-DE"/>
        </w:rPr>
      </w:pPr>
      <w:r w:rsidRPr="00DD3F55">
        <w:rPr>
          <w:rFonts w:ascii="Arial" w:hAnsi="Arial" w:cs="Arial"/>
          <w:lang w:val="en-GB" w:eastAsia="de-DE"/>
        </w:rPr>
        <w:t>A number of emerging issues were identified in the 2010 Policy but have to be yet fully addressed. These include:</w:t>
      </w:r>
    </w:p>
    <w:p w:rsidR="00DD3F55" w:rsidRPr="00DD3F55" w:rsidRDefault="00DD3F55" w:rsidP="00DD3F55">
      <w:pPr>
        <w:pStyle w:val="ListParagraph"/>
        <w:widowControl w:val="0"/>
        <w:numPr>
          <w:ilvl w:val="0"/>
          <w:numId w:val="2"/>
        </w:numPr>
        <w:spacing w:after="0" w:line="240" w:lineRule="auto"/>
        <w:jc w:val="both"/>
        <w:rPr>
          <w:rFonts w:ascii="Arial" w:hAnsi="Arial" w:cs="Arial"/>
          <w:lang w:val="en-GB" w:eastAsia="de-DE"/>
        </w:rPr>
      </w:pPr>
      <w:r w:rsidRPr="00DD3F55">
        <w:rPr>
          <w:rFonts w:ascii="Arial" w:hAnsi="Arial" w:cs="Arial"/>
          <w:lang w:val="en-GB" w:eastAsia="de-DE"/>
        </w:rPr>
        <w:t xml:space="preserve">Decentralization of Water and Sanitation Services; </w:t>
      </w:r>
    </w:p>
    <w:p w:rsidR="00DD3F55" w:rsidRPr="00DD3F55" w:rsidRDefault="00DD3F55" w:rsidP="00DD3F55">
      <w:pPr>
        <w:pStyle w:val="ListParagraph"/>
        <w:widowControl w:val="0"/>
        <w:numPr>
          <w:ilvl w:val="0"/>
          <w:numId w:val="2"/>
        </w:numPr>
        <w:spacing w:after="0" w:line="240" w:lineRule="auto"/>
        <w:jc w:val="both"/>
        <w:rPr>
          <w:rFonts w:ascii="Arial" w:hAnsi="Arial" w:cs="Arial"/>
          <w:lang w:val="en-GB" w:eastAsia="de-DE"/>
        </w:rPr>
      </w:pPr>
      <w:r w:rsidRPr="00DD3F55">
        <w:rPr>
          <w:rFonts w:ascii="Arial" w:hAnsi="Arial" w:cs="Arial"/>
          <w:lang w:val="en-GB" w:eastAsia="de-DE"/>
        </w:rPr>
        <w:t xml:space="preserve">Urban Sewerage Systems; </w:t>
      </w:r>
    </w:p>
    <w:p w:rsidR="00DD3F55" w:rsidRPr="00DD3F55" w:rsidRDefault="00DD3F55" w:rsidP="00DD3F55">
      <w:pPr>
        <w:pStyle w:val="ListParagraph"/>
        <w:widowControl w:val="0"/>
        <w:numPr>
          <w:ilvl w:val="0"/>
          <w:numId w:val="2"/>
        </w:numPr>
        <w:spacing w:after="0" w:line="240" w:lineRule="auto"/>
        <w:jc w:val="both"/>
        <w:rPr>
          <w:rFonts w:ascii="Arial" w:hAnsi="Arial" w:cs="Arial"/>
          <w:lang w:val="en-GB" w:eastAsia="de-DE"/>
        </w:rPr>
      </w:pPr>
      <w:r w:rsidRPr="00DD3F55">
        <w:rPr>
          <w:rFonts w:ascii="Arial" w:hAnsi="Arial" w:cs="Arial"/>
          <w:lang w:val="en-GB" w:eastAsia="de-DE"/>
        </w:rPr>
        <w:t xml:space="preserve">Solid waste and storm water management; </w:t>
      </w:r>
    </w:p>
    <w:p w:rsidR="00DD3F55" w:rsidRPr="00DD3F55" w:rsidRDefault="00DD3F55" w:rsidP="00DD3F55">
      <w:pPr>
        <w:pStyle w:val="ListParagraph"/>
        <w:widowControl w:val="0"/>
        <w:numPr>
          <w:ilvl w:val="0"/>
          <w:numId w:val="2"/>
        </w:numPr>
        <w:spacing w:after="0" w:line="240" w:lineRule="auto"/>
        <w:jc w:val="both"/>
        <w:rPr>
          <w:rFonts w:ascii="Arial" w:hAnsi="Arial" w:cs="Arial"/>
          <w:lang w:val="en-GB" w:eastAsia="de-DE"/>
        </w:rPr>
      </w:pPr>
      <w:r w:rsidRPr="00DD3F55">
        <w:rPr>
          <w:rFonts w:ascii="Arial" w:hAnsi="Arial" w:cs="Arial"/>
          <w:lang w:val="en-GB" w:eastAsia="de-DE"/>
        </w:rPr>
        <w:t>Sector financing mechanisms and access to funding for decentralized actors ( district, Communities, private operators );</w:t>
      </w:r>
    </w:p>
    <w:p w:rsidR="00DD3F55" w:rsidRPr="00DD3F55" w:rsidRDefault="00DD3F55" w:rsidP="00DD3F55">
      <w:pPr>
        <w:pStyle w:val="ListParagraph"/>
        <w:widowControl w:val="0"/>
        <w:numPr>
          <w:ilvl w:val="0"/>
          <w:numId w:val="2"/>
        </w:numPr>
        <w:spacing w:after="0" w:line="240" w:lineRule="auto"/>
        <w:jc w:val="both"/>
        <w:rPr>
          <w:rFonts w:ascii="Arial" w:hAnsi="Arial" w:cs="Arial"/>
          <w:lang w:val="en-GB" w:eastAsia="de-DE"/>
        </w:rPr>
      </w:pPr>
      <w:r w:rsidRPr="00DD3F55">
        <w:rPr>
          <w:rFonts w:ascii="Arial" w:hAnsi="Arial" w:cs="Arial"/>
          <w:lang w:val="en-GB" w:eastAsia="de-DE"/>
        </w:rPr>
        <w:t>Performance of Public Private Partnership arrangements</w:t>
      </w:r>
    </w:p>
    <w:p w:rsidR="00DD3F55" w:rsidRPr="00DD3F55" w:rsidRDefault="00DD3F55" w:rsidP="00DD3F55">
      <w:pPr>
        <w:pStyle w:val="ListParagraph"/>
        <w:widowControl w:val="0"/>
        <w:numPr>
          <w:ilvl w:val="0"/>
          <w:numId w:val="2"/>
        </w:numPr>
        <w:spacing w:after="0" w:line="240" w:lineRule="auto"/>
        <w:jc w:val="both"/>
        <w:rPr>
          <w:rFonts w:ascii="Arial" w:hAnsi="Arial" w:cs="Arial"/>
          <w:lang w:val="en-GB" w:eastAsia="de-DE"/>
        </w:rPr>
      </w:pPr>
      <w:r w:rsidRPr="00DD3F55">
        <w:rPr>
          <w:rFonts w:ascii="Arial" w:hAnsi="Arial" w:cs="Arial"/>
          <w:lang w:val="en-GB" w:eastAsia="de-DE"/>
        </w:rPr>
        <w:t>Further sector harmonization towards Sector Wide Approach</w:t>
      </w:r>
    </w:p>
    <w:p w:rsidR="00DD3F55" w:rsidRPr="00DD3F55" w:rsidRDefault="00DD3F55" w:rsidP="00DD3F55">
      <w:pPr>
        <w:widowControl w:val="0"/>
        <w:spacing w:after="0" w:line="240" w:lineRule="auto"/>
        <w:jc w:val="both"/>
        <w:rPr>
          <w:rFonts w:ascii="Arial" w:hAnsi="Arial" w:cs="Arial"/>
          <w:lang w:val="en-GB" w:eastAsia="de-DE"/>
        </w:rPr>
      </w:pPr>
    </w:p>
    <w:p w:rsidR="00DD3F55" w:rsidRPr="00DD3F55" w:rsidRDefault="00DD3F55" w:rsidP="00DD3F55">
      <w:pPr>
        <w:pStyle w:val="Default"/>
        <w:jc w:val="both"/>
        <w:rPr>
          <w:rFonts w:ascii="Arial" w:hAnsi="Arial" w:cs="Arial"/>
          <w:color w:val="auto"/>
          <w:sz w:val="22"/>
          <w:szCs w:val="22"/>
          <w:lang w:val="en-GB" w:eastAsia="de-DE"/>
        </w:rPr>
      </w:pPr>
      <w:r w:rsidRPr="00DD3F55">
        <w:rPr>
          <w:rFonts w:ascii="Arial" w:hAnsi="Arial" w:cs="Arial"/>
          <w:color w:val="auto"/>
          <w:sz w:val="22"/>
          <w:szCs w:val="22"/>
          <w:lang w:val="en-GB" w:eastAsia="de-DE"/>
        </w:rPr>
        <w:t>Keeping the above in view, the Government of Rwanda plans to update the current Policy and Strategy so as to align it with EDPRS 2 with due consideration to the changed context, emerging issues and best practices and lessons learned.</w:t>
      </w:r>
    </w:p>
    <w:p w:rsidR="00DD3F55" w:rsidRDefault="00DD3F55" w:rsidP="00DD3F55">
      <w:pPr>
        <w:pStyle w:val="Default"/>
        <w:jc w:val="both"/>
        <w:rPr>
          <w:rFonts w:ascii="Arial" w:hAnsi="Arial" w:cs="Arial"/>
          <w:color w:val="auto"/>
          <w:sz w:val="22"/>
          <w:szCs w:val="22"/>
          <w:lang w:val="en-GB" w:eastAsia="de-DE"/>
        </w:rPr>
      </w:pPr>
    </w:p>
    <w:p w:rsidR="00DD3F55" w:rsidRDefault="00DD3F55" w:rsidP="00DD3F55">
      <w:pPr>
        <w:pStyle w:val="Default"/>
        <w:jc w:val="both"/>
        <w:rPr>
          <w:rFonts w:ascii="Arial" w:hAnsi="Arial" w:cs="Arial"/>
          <w:color w:val="auto"/>
          <w:sz w:val="22"/>
          <w:szCs w:val="22"/>
          <w:lang w:val="en-GB" w:eastAsia="de-DE"/>
        </w:rPr>
      </w:pPr>
    </w:p>
    <w:p w:rsidR="00DD3F55" w:rsidRPr="00DD3F55" w:rsidRDefault="00DD3F55" w:rsidP="00DD3F55">
      <w:pPr>
        <w:pStyle w:val="Default"/>
        <w:jc w:val="both"/>
        <w:rPr>
          <w:rFonts w:ascii="Arial" w:hAnsi="Arial" w:cs="Arial"/>
          <w:color w:val="auto"/>
          <w:sz w:val="22"/>
          <w:szCs w:val="22"/>
          <w:lang w:val="en-GB" w:eastAsia="de-DE"/>
        </w:rPr>
      </w:pPr>
    </w:p>
    <w:p w:rsidR="00DD3F55" w:rsidRPr="00DD3F55" w:rsidRDefault="00DD3F55" w:rsidP="00DD3F55">
      <w:pPr>
        <w:pStyle w:val="ListParagraph"/>
        <w:numPr>
          <w:ilvl w:val="0"/>
          <w:numId w:val="3"/>
        </w:numPr>
        <w:tabs>
          <w:tab w:val="left" w:pos="2258"/>
        </w:tabs>
        <w:spacing w:after="0" w:line="240" w:lineRule="auto"/>
        <w:jc w:val="both"/>
        <w:rPr>
          <w:rFonts w:ascii="Arial" w:hAnsi="Arial" w:cs="Arial"/>
          <w:b/>
        </w:rPr>
      </w:pPr>
      <w:r w:rsidRPr="00DD3F55">
        <w:rPr>
          <w:rFonts w:ascii="Arial" w:hAnsi="Arial" w:cs="Arial"/>
          <w:b/>
        </w:rPr>
        <w:t xml:space="preserve">Policy review process </w:t>
      </w:r>
    </w:p>
    <w:p w:rsidR="00DD3F55" w:rsidRDefault="00DD3F55" w:rsidP="00DD3F55">
      <w:pPr>
        <w:widowControl w:val="0"/>
        <w:spacing w:after="0" w:line="240" w:lineRule="auto"/>
        <w:jc w:val="both"/>
        <w:rPr>
          <w:rFonts w:ascii="Arial" w:hAnsi="Arial" w:cs="Arial"/>
          <w:lang w:val="en-GB" w:eastAsia="de-DE"/>
        </w:rPr>
      </w:pPr>
      <w:r w:rsidRPr="00DD3F55">
        <w:rPr>
          <w:rFonts w:ascii="Arial" w:hAnsi="Arial" w:cs="Arial"/>
          <w:lang w:val="en-GB" w:eastAsia="de-DE"/>
        </w:rPr>
        <w:t xml:space="preserve">The final National Policy and Strategy document will be the result of a comprehensive discussion and wide stakeholder consultation process led by a dedicated Tasks Force that will be created to this end. It is envisaged that there will be sector retreats, provincial workshops and a national validation workshops to ensure adequate participation of all sector stakeholders, both in internal and external. The </w:t>
      </w:r>
      <w:r>
        <w:rPr>
          <w:rFonts w:ascii="Arial" w:hAnsi="Arial" w:cs="Arial"/>
          <w:lang w:val="en-GB" w:eastAsia="de-DE"/>
        </w:rPr>
        <w:t>key steps involved in the process are listed as follows:</w:t>
      </w:r>
    </w:p>
    <w:p w:rsidR="00DD3F55" w:rsidRP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sidRPr="00DD3F55">
        <w:rPr>
          <w:rFonts w:ascii="Arial" w:hAnsi="Arial" w:cs="Arial"/>
          <w:lang w:val="en-GB" w:eastAsia="de-DE"/>
        </w:rPr>
        <w:t>Notification of the “Policy Review Task Force”, comprising key ministries and selected partners, to oversee the policy review process;</w:t>
      </w:r>
    </w:p>
    <w:p w:rsidR="00DD3F55" w:rsidRP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sidRPr="00DD3F55">
        <w:rPr>
          <w:rFonts w:ascii="Arial" w:hAnsi="Arial" w:cs="Arial"/>
          <w:lang w:val="en-GB" w:eastAsia="de-DE"/>
        </w:rPr>
        <w:t xml:space="preserve">Review/approval of the </w:t>
      </w:r>
      <w:r>
        <w:rPr>
          <w:rFonts w:ascii="Arial" w:hAnsi="Arial" w:cs="Arial"/>
          <w:lang w:val="en-GB" w:eastAsia="de-DE"/>
        </w:rPr>
        <w:t>concept paper</w:t>
      </w:r>
      <w:r w:rsidRPr="00DD3F55">
        <w:rPr>
          <w:rFonts w:ascii="Arial" w:hAnsi="Arial" w:cs="Arial"/>
          <w:lang w:val="en-GB" w:eastAsia="de-DE"/>
        </w:rPr>
        <w:t xml:space="preserve"> by the task force; </w:t>
      </w:r>
    </w:p>
    <w:p w:rsidR="00DD3F55" w:rsidRP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sidRPr="00DD3F55">
        <w:rPr>
          <w:rFonts w:ascii="Arial" w:hAnsi="Arial" w:cs="Arial"/>
          <w:lang w:val="en-GB" w:eastAsia="de-DE"/>
        </w:rPr>
        <w:t xml:space="preserve">Presentation of the </w:t>
      </w:r>
      <w:r>
        <w:rPr>
          <w:rFonts w:ascii="Arial" w:hAnsi="Arial" w:cs="Arial"/>
          <w:lang w:val="en-GB" w:eastAsia="de-DE"/>
        </w:rPr>
        <w:t>concept</w:t>
      </w:r>
      <w:r w:rsidRPr="00DD3F55">
        <w:rPr>
          <w:rFonts w:ascii="Arial" w:hAnsi="Arial" w:cs="Arial"/>
          <w:lang w:val="en-GB" w:eastAsia="de-DE"/>
        </w:rPr>
        <w:t xml:space="preserve"> paper to the Sector Working Group;</w:t>
      </w:r>
    </w:p>
    <w:p w:rsidR="00DD3F55" w:rsidRP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Pr>
          <w:rFonts w:ascii="Arial" w:hAnsi="Arial" w:cs="Arial"/>
          <w:lang w:val="en-GB" w:eastAsia="de-DE"/>
        </w:rPr>
        <w:t>Engagement of the consul</w:t>
      </w:r>
      <w:r w:rsidR="007C3AEC">
        <w:rPr>
          <w:rFonts w:ascii="Arial" w:hAnsi="Arial" w:cs="Arial"/>
          <w:lang w:val="en-GB" w:eastAsia="de-DE"/>
        </w:rPr>
        <w:t>tants</w:t>
      </w:r>
      <w:r w:rsidRPr="00DD3F55">
        <w:rPr>
          <w:rFonts w:ascii="Arial" w:hAnsi="Arial" w:cs="Arial"/>
          <w:lang w:val="en-GB" w:eastAsia="de-DE"/>
        </w:rPr>
        <w:t>;</w:t>
      </w:r>
    </w:p>
    <w:p w:rsid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sidRPr="00DD3F55">
        <w:rPr>
          <w:rFonts w:ascii="Arial" w:hAnsi="Arial" w:cs="Arial"/>
          <w:lang w:val="en-GB" w:eastAsia="de-DE"/>
        </w:rPr>
        <w:t xml:space="preserve">Preparation of the background paper(s) by </w:t>
      </w:r>
      <w:r>
        <w:rPr>
          <w:rFonts w:ascii="Arial" w:hAnsi="Arial" w:cs="Arial"/>
          <w:lang w:val="en-GB" w:eastAsia="de-DE"/>
        </w:rPr>
        <w:t>the c</w:t>
      </w:r>
      <w:r w:rsidRPr="00DD3F55">
        <w:rPr>
          <w:rFonts w:ascii="Arial" w:hAnsi="Arial" w:cs="Arial"/>
          <w:lang w:val="en-GB" w:eastAsia="de-DE"/>
        </w:rPr>
        <w:t>onsultant</w:t>
      </w:r>
      <w:r>
        <w:rPr>
          <w:rFonts w:ascii="Arial" w:hAnsi="Arial" w:cs="Arial"/>
          <w:lang w:val="en-GB" w:eastAsia="de-DE"/>
        </w:rPr>
        <w:t>s;</w:t>
      </w:r>
    </w:p>
    <w:p w:rsidR="00DD3F55" w:rsidRP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sidRPr="00DD3F55">
        <w:rPr>
          <w:rFonts w:ascii="Arial" w:hAnsi="Arial" w:cs="Arial"/>
          <w:lang w:val="en-GB" w:eastAsia="de-DE"/>
        </w:rPr>
        <w:t>Consultation</w:t>
      </w:r>
      <w:r w:rsidR="007C3AEC">
        <w:rPr>
          <w:rFonts w:ascii="Arial" w:hAnsi="Arial" w:cs="Arial"/>
          <w:lang w:val="en-GB" w:eastAsia="de-DE"/>
        </w:rPr>
        <w:t>s</w:t>
      </w:r>
      <w:r w:rsidRPr="00DD3F55">
        <w:rPr>
          <w:rFonts w:ascii="Arial" w:hAnsi="Arial" w:cs="Arial"/>
          <w:lang w:val="en-GB" w:eastAsia="de-DE"/>
        </w:rPr>
        <w:t xml:space="preserve"> on the background paper at provincial level;</w:t>
      </w:r>
    </w:p>
    <w:p w:rsidR="00DD3F55" w:rsidRP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sidRPr="00DD3F55">
        <w:rPr>
          <w:rFonts w:ascii="Arial" w:hAnsi="Arial" w:cs="Arial"/>
          <w:lang w:val="en-GB" w:eastAsia="de-DE"/>
        </w:rPr>
        <w:t xml:space="preserve">Preparation of the draft updated policy; </w:t>
      </w:r>
    </w:p>
    <w:p w:rsidR="00DD3F55" w:rsidRP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sidRPr="00DD3F55">
        <w:rPr>
          <w:rFonts w:ascii="Arial" w:hAnsi="Arial" w:cs="Arial"/>
          <w:lang w:val="en-GB" w:eastAsia="de-DE"/>
        </w:rPr>
        <w:t>Stakeholders consultation</w:t>
      </w:r>
      <w:r w:rsidR="007C3AEC">
        <w:rPr>
          <w:rFonts w:ascii="Arial" w:hAnsi="Arial" w:cs="Arial"/>
          <w:lang w:val="en-GB" w:eastAsia="de-DE"/>
        </w:rPr>
        <w:t>s</w:t>
      </w:r>
      <w:r w:rsidRPr="00DD3F55">
        <w:rPr>
          <w:rFonts w:ascii="Arial" w:hAnsi="Arial" w:cs="Arial"/>
          <w:lang w:val="en-GB" w:eastAsia="de-DE"/>
        </w:rPr>
        <w:t xml:space="preserve"> on the draft Policy and revision (provincial and central level);</w:t>
      </w:r>
    </w:p>
    <w:p w:rsidR="00DD3F55" w:rsidRP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sidRPr="00DD3F55">
        <w:rPr>
          <w:rFonts w:ascii="Arial" w:hAnsi="Arial" w:cs="Arial"/>
          <w:lang w:val="en-GB" w:eastAsia="de-DE"/>
        </w:rPr>
        <w:t>Presentation of the draft Policy to the Task Force and subsequent revision;</w:t>
      </w:r>
    </w:p>
    <w:p w:rsidR="00DD3F55" w:rsidRP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sidRPr="00DD3F55">
        <w:rPr>
          <w:rFonts w:ascii="Arial" w:hAnsi="Arial" w:cs="Arial"/>
          <w:lang w:val="en-GB" w:eastAsia="de-DE"/>
        </w:rPr>
        <w:t>Presentation of the draft policy to sector working group (national validation workshop);</w:t>
      </w:r>
    </w:p>
    <w:p w:rsidR="00DD3F55" w:rsidRP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sidRPr="00DD3F55">
        <w:rPr>
          <w:rFonts w:ascii="Arial" w:hAnsi="Arial" w:cs="Arial"/>
          <w:lang w:val="en-GB" w:eastAsia="de-DE"/>
        </w:rPr>
        <w:t>Revision of the draft in light of comments of the sector working group;</w:t>
      </w:r>
    </w:p>
    <w:p w:rsidR="00DD3F55" w:rsidRP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sidRPr="00DD3F55">
        <w:rPr>
          <w:rFonts w:ascii="Arial" w:hAnsi="Arial" w:cs="Arial"/>
          <w:lang w:val="en-GB" w:eastAsia="de-DE"/>
        </w:rPr>
        <w:t xml:space="preserve">Release of draft policy for public comments; </w:t>
      </w:r>
    </w:p>
    <w:p w:rsidR="00DD3F55" w:rsidRP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sidRPr="00DD3F55">
        <w:rPr>
          <w:rFonts w:ascii="Arial" w:hAnsi="Arial" w:cs="Arial"/>
          <w:lang w:val="en-GB" w:eastAsia="de-DE"/>
        </w:rPr>
        <w:t xml:space="preserve">Revision of the policy and final review by the Task Force; </w:t>
      </w:r>
    </w:p>
    <w:p w:rsidR="00DD3F55" w:rsidRP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sidRPr="00DD3F55">
        <w:rPr>
          <w:rFonts w:ascii="Arial" w:hAnsi="Arial" w:cs="Arial"/>
          <w:lang w:val="en-GB" w:eastAsia="de-DE"/>
        </w:rPr>
        <w:t>Revision/finalization of the draft Policy;</w:t>
      </w:r>
    </w:p>
    <w:p w:rsidR="00DD3F55" w:rsidRP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sidRPr="00DD3F55">
        <w:rPr>
          <w:rFonts w:ascii="Arial" w:hAnsi="Arial" w:cs="Arial"/>
          <w:lang w:val="en-GB" w:eastAsia="de-DE"/>
        </w:rPr>
        <w:t xml:space="preserve">Presentation to the Cabinet; and </w:t>
      </w:r>
    </w:p>
    <w:p w:rsidR="00DD3F55" w:rsidRPr="00DD3F55" w:rsidRDefault="00DD3F55" w:rsidP="00DD3F55">
      <w:pPr>
        <w:pStyle w:val="ListParagraph"/>
        <w:widowControl w:val="0"/>
        <w:numPr>
          <w:ilvl w:val="0"/>
          <w:numId w:val="4"/>
        </w:numPr>
        <w:spacing w:after="0" w:line="240" w:lineRule="auto"/>
        <w:jc w:val="both"/>
        <w:rPr>
          <w:rFonts w:ascii="Arial" w:hAnsi="Arial" w:cs="Arial"/>
          <w:lang w:val="en-GB" w:eastAsia="de-DE"/>
        </w:rPr>
      </w:pPr>
      <w:r w:rsidRPr="00DD3F55">
        <w:rPr>
          <w:rFonts w:ascii="Arial" w:hAnsi="Arial" w:cs="Arial"/>
          <w:lang w:val="en-GB" w:eastAsia="de-DE"/>
        </w:rPr>
        <w:t xml:space="preserve">Printing and dissemination </w:t>
      </w:r>
    </w:p>
    <w:p w:rsidR="00DD3F55" w:rsidRDefault="00DD3F55" w:rsidP="00DD3F55">
      <w:pPr>
        <w:widowControl w:val="0"/>
        <w:spacing w:after="0" w:line="240" w:lineRule="auto"/>
        <w:jc w:val="both"/>
        <w:rPr>
          <w:rFonts w:ascii="Arial" w:hAnsi="Arial" w:cs="Arial"/>
          <w:lang w:val="en-GB" w:eastAsia="de-DE"/>
        </w:rPr>
      </w:pPr>
    </w:p>
    <w:p w:rsidR="00DD3F55" w:rsidRPr="00DD3F55" w:rsidRDefault="00DD3F55" w:rsidP="00DD3F55">
      <w:pPr>
        <w:widowControl w:val="0"/>
        <w:spacing w:after="0" w:line="240" w:lineRule="auto"/>
        <w:jc w:val="both"/>
        <w:rPr>
          <w:rFonts w:ascii="Arial" w:hAnsi="Arial" w:cs="Arial"/>
          <w:lang w:val="en-GB" w:eastAsia="de-DE"/>
        </w:rPr>
      </w:pPr>
    </w:p>
    <w:p w:rsidR="00DD3F55" w:rsidRPr="00DD3F55" w:rsidRDefault="00DD3F55" w:rsidP="00DD3F55">
      <w:pPr>
        <w:pStyle w:val="ListParagraph"/>
        <w:numPr>
          <w:ilvl w:val="0"/>
          <w:numId w:val="3"/>
        </w:numPr>
        <w:tabs>
          <w:tab w:val="left" w:pos="2258"/>
        </w:tabs>
        <w:spacing w:after="0" w:line="240" w:lineRule="auto"/>
        <w:jc w:val="both"/>
        <w:rPr>
          <w:rFonts w:ascii="Arial" w:hAnsi="Arial" w:cs="Arial"/>
          <w:b/>
          <w:lang w:val="en-GB"/>
        </w:rPr>
      </w:pPr>
      <w:r w:rsidRPr="00DD3F55">
        <w:rPr>
          <w:rFonts w:ascii="Arial" w:hAnsi="Arial" w:cs="Arial"/>
          <w:b/>
          <w:lang w:val="en-GB"/>
        </w:rPr>
        <w:t xml:space="preserve">Task Force </w:t>
      </w:r>
    </w:p>
    <w:p w:rsidR="00DD3F55" w:rsidRPr="00DD3F55" w:rsidRDefault="00DD3F55" w:rsidP="00DD3F55">
      <w:pPr>
        <w:tabs>
          <w:tab w:val="left" w:pos="2258"/>
        </w:tabs>
        <w:spacing w:after="0" w:line="240" w:lineRule="auto"/>
        <w:jc w:val="both"/>
        <w:rPr>
          <w:rFonts w:ascii="Arial" w:hAnsi="Arial" w:cs="Arial"/>
          <w:lang w:val="en-GB"/>
        </w:rPr>
      </w:pPr>
      <w:r w:rsidRPr="00DD3F55">
        <w:rPr>
          <w:rFonts w:ascii="Arial" w:hAnsi="Arial" w:cs="Arial"/>
          <w:lang w:val="en-GB"/>
        </w:rPr>
        <w:t>A “</w:t>
      </w:r>
      <w:r>
        <w:rPr>
          <w:rFonts w:ascii="Arial" w:hAnsi="Arial" w:cs="Arial"/>
          <w:lang w:val="en-GB"/>
        </w:rPr>
        <w:t>Policy Review Task</w:t>
      </w:r>
      <w:r w:rsidRPr="00DD3F55">
        <w:rPr>
          <w:rFonts w:ascii="Arial" w:hAnsi="Arial" w:cs="Arial"/>
          <w:lang w:val="en-GB"/>
        </w:rPr>
        <w:t xml:space="preserve"> Force” will be established to closely </w:t>
      </w:r>
      <w:r>
        <w:rPr>
          <w:rFonts w:ascii="Arial" w:hAnsi="Arial" w:cs="Arial"/>
          <w:lang w:val="en-GB"/>
        </w:rPr>
        <w:t>oversee, and</w:t>
      </w:r>
      <w:r w:rsidRPr="00DD3F55">
        <w:rPr>
          <w:rFonts w:ascii="Arial" w:hAnsi="Arial" w:cs="Arial"/>
          <w:lang w:val="en-GB"/>
        </w:rPr>
        <w:t xml:space="preserve"> provide technical support throughout</w:t>
      </w:r>
      <w:r>
        <w:rPr>
          <w:rFonts w:ascii="Arial" w:hAnsi="Arial" w:cs="Arial"/>
          <w:lang w:val="en-GB"/>
        </w:rPr>
        <w:t>,</w:t>
      </w:r>
      <w:r w:rsidRPr="00DD3F55">
        <w:rPr>
          <w:rFonts w:ascii="Arial" w:hAnsi="Arial" w:cs="Arial"/>
          <w:lang w:val="en-GB"/>
        </w:rPr>
        <w:t xml:space="preserve"> the review process. The task force will be </w:t>
      </w:r>
      <w:r>
        <w:rPr>
          <w:rFonts w:ascii="Arial" w:hAnsi="Arial" w:cs="Arial"/>
          <w:lang w:val="en-GB"/>
        </w:rPr>
        <w:t>comprised</w:t>
      </w:r>
      <w:r w:rsidRPr="00DD3F55">
        <w:rPr>
          <w:rFonts w:ascii="Arial" w:hAnsi="Arial" w:cs="Arial"/>
          <w:lang w:val="en-GB"/>
        </w:rPr>
        <w:t xml:space="preserve"> of the representatives from the following Institutions:</w:t>
      </w:r>
    </w:p>
    <w:p w:rsidR="00DD3F55" w:rsidRDefault="00DD3F55" w:rsidP="00DD3F55">
      <w:pPr>
        <w:pStyle w:val="ListParagraph"/>
        <w:widowControl w:val="0"/>
        <w:numPr>
          <w:ilvl w:val="0"/>
          <w:numId w:val="6"/>
        </w:numPr>
        <w:spacing w:after="0" w:line="240" w:lineRule="auto"/>
        <w:ind w:left="0" w:firstLine="0"/>
        <w:jc w:val="both"/>
        <w:rPr>
          <w:rFonts w:ascii="Arial" w:hAnsi="Arial" w:cs="Arial"/>
          <w:lang w:val="en-GB" w:eastAsia="de-DE"/>
        </w:rPr>
      </w:pPr>
      <w:r>
        <w:rPr>
          <w:rFonts w:ascii="Arial" w:hAnsi="Arial" w:cs="Arial"/>
          <w:lang w:val="en-GB" w:eastAsia="de-DE"/>
        </w:rPr>
        <w:t>Ministry of Infrastructure (Chair)</w:t>
      </w:r>
    </w:p>
    <w:p w:rsidR="00DD3F55" w:rsidRPr="00DD3F55" w:rsidRDefault="00DD3F55" w:rsidP="00DD3F55">
      <w:pPr>
        <w:pStyle w:val="ListParagraph"/>
        <w:widowControl w:val="0"/>
        <w:numPr>
          <w:ilvl w:val="0"/>
          <w:numId w:val="6"/>
        </w:numPr>
        <w:spacing w:after="0" w:line="240" w:lineRule="auto"/>
        <w:ind w:left="0" w:firstLine="0"/>
        <w:jc w:val="both"/>
        <w:rPr>
          <w:rFonts w:ascii="Arial" w:hAnsi="Arial" w:cs="Arial"/>
          <w:lang w:val="en-GB" w:eastAsia="de-DE"/>
        </w:rPr>
      </w:pPr>
      <w:r w:rsidRPr="00DD3F55">
        <w:rPr>
          <w:rFonts w:ascii="Arial" w:hAnsi="Arial" w:cs="Arial"/>
          <w:lang w:val="en-GB" w:eastAsia="de-DE"/>
        </w:rPr>
        <w:t xml:space="preserve">Ministry of Finance and Economic Planning (MINECOFIN); </w:t>
      </w:r>
    </w:p>
    <w:p w:rsidR="00DD3F55" w:rsidRPr="00DD3F55" w:rsidRDefault="00DD3F55" w:rsidP="00DD3F55">
      <w:pPr>
        <w:pStyle w:val="ListParagraph"/>
        <w:widowControl w:val="0"/>
        <w:numPr>
          <w:ilvl w:val="0"/>
          <w:numId w:val="6"/>
        </w:numPr>
        <w:spacing w:after="0" w:line="240" w:lineRule="auto"/>
        <w:ind w:left="0" w:firstLine="0"/>
        <w:jc w:val="both"/>
        <w:rPr>
          <w:rFonts w:ascii="Arial" w:hAnsi="Arial" w:cs="Arial"/>
          <w:lang w:val="en-GB" w:eastAsia="de-DE"/>
        </w:rPr>
      </w:pPr>
      <w:r w:rsidRPr="00DD3F55">
        <w:rPr>
          <w:rFonts w:ascii="Arial" w:hAnsi="Arial" w:cs="Arial"/>
          <w:lang w:val="en-GB" w:eastAsia="de-DE"/>
        </w:rPr>
        <w:t>Ministry of Health (MINISANTE);</w:t>
      </w:r>
    </w:p>
    <w:p w:rsidR="00DD3F55" w:rsidRPr="00DD3F55" w:rsidRDefault="00DD3F55" w:rsidP="00DD3F55">
      <w:pPr>
        <w:pStyle w:val="ListParagraph"/>
        <w:widowControl w:val="0"/>
        <w:numPr>
          <w:ilvl w:val="0"/>
          <w:numId w:val="6"/>
        </w:numPr>
        <w:spacing w:after="0" w:line="240" w:lineRule="auto"/>
        <w:ind w:left="0" w:firstLine="0"/>
        <w:jc w:val="both"/>
        <w:rPr>
          <w:rFonts w:ascii="Arial" w:hAnsi="Arial" w:cs="Arial"/>
          <w:lang w:val="en-GB" w:eastAsia="de-DE"/>
        </w:rPr>
      </w:pPr>
      <w:r w:rsidRPr="00DD3F55">
        <w:rPr>
          <w:rFonts w:ascii="Arial" w:hAnsi="Arial" w:cs="Arial"/>
          <w:lang w:val="en-GB" w:eastAsia="de-DE"/>
        </w:rPr>
        <w:t xml:space="preserve">Ministry of Natural Resources (MINIRENA); </w:t>
      </w:r>
    </w:p>
    <w:p w:rsidR="00DD3F55" w:rsidRPr="00DD3F55" w:rsidRDefault="00DD3F55" w:rsidP="00DD3F55">
      <w:pPr>
        <w:pStyle w:val="ListParagraph"/>
        <w:widowControl w:val="0"/>
        <w:numPr>
          <w:ilvl w:val="0"/>
          <w:numId w:val="6"/>
        </w:numPr>
        <w:spacing w:after="0" w:line="240" w:lineRule="auto"/>
        <w:ind w:left="0" w:firstLine="0"/>
        <w:jc w:val="both"/>
        <w:rPr>
          <w:rFonts w:ascii="Arial" w:hAnsi="Arial" w:cs="Arial"/>
          <w:lang w:val="en-GB" w:eastAsia="de-DE"/>
        </w:rPr>
      </w:pPr>
      <w:r w:rsidRPr="00DD3F55">
        <w:rPr>
          <w:rFonts w:ascii="Arial" w:hAnsi="Arial" w:cs="Arial"/>
          <w:lang w:val="en-GB" w:eastAsia="de-DE"/>
        </w:rPr>
        <w:t xml:space="preserve">Ministry of Education(MINEDUC); </w:t>
      </w:r>
    </w:p>
    <w:p w:rsidR="00DD3F55" w:rsidRPr="00DD3F55" w:rsidRDefault="00DD3F55" w:rsidP="00DD3F55">
      <w:pPr>
        <w:pStyle w:val="ListParagraph"/>
        <w:widowControl w:val="0"/>
        <w:numPr>
          <w:ilvl w:val="0"/>
          <w:numId w:val="6"/>
        </w:numPr>
        <w:spacing w:after="0" w:line="240" w:lineRule="auto"/>
        <w:ind w:left="0" w:firstLine="0"/>
        <w:jc w:val="both"/>
        <w:rPr>
          <w:rFonts w:ascii="Arial" w:hAnsi="Arial" w:cs="Arial"/>
          <w:lang w:val="en-GB" w:eastAsia="de-DE"/>
        </w:rPr>
      </w:pPr>
      <w:r w:rsidRPr="00DD3F55">
        <w:rPr>
          <w:rFonts w:ascii="Arial" w:hAnsi="Arial" w:cs="Arial"/>
          <w:lang w:val="en-GB" w:eastAsia="de-DE"/>
        </w:rPr>
        <w:t xml:space="preserve">Ministry for Local Government(MINALOC); </w:t>
      </w:r>
    </w:p>
    <w:p w:rsidR="00DD3F55" w:rsidRPr="00DD3F55" w:rsidRDefault="00DD3F55" w:rsidP="00DD3F55">
      <w:pPr>
        <w:pStyle w:val="ListParagraph"/>
        <w:widowControl w:val="0"/>
        <w:numPr>
          <w:ilvl w:val="0"/>
          <w:numId w:val="6"/>
        </w:numPr>
        <w:spacing w:after="0" w:line="240" w:lineRule="auto"/>
        <w:ind w:left="0" w:firstLine="0"/>
        <w:jc w:val="both"/>
        <w:rPr>
          <w:rFonts w:ascii="Arial" w:hAnsi="Arial" w:cs="Arial"/>
          <w:lang w:val="en-GB" w:eastAsia="de-DE"/>
        </w:rPr>
      </w:pPr>
      <w:r w:rsidRPr="00DD3F55">
        <w:rPr>
          <w:rFonts w:ascii="Arial" w:hAnsi="Arial" w:cs="Arial"/>
          <w:lang w:val="en-GB" w:eastAsia="de-DE"/>
        </w:rPr>
        <w:t>Rwanda Utility Regulatory Agency (RURA);</w:t>
      </w:r>
    </w:p>
    <w:p w:rsidR="00DD3F55" w:rsidRPr="00DD3F55" w:rsidRDefault="00DD3F55" w:rsidP="00DD3F55">
      <w:pPr>
        <w:pStyle w:val="ListParagraph"/>
        <w:widowControl w:val="0"/>
        <w:numPr>
          <w:ilvl w:val="0"/>
          <w:numId w:val="6"/>
        </w:numPr>
        <w:spacing w:after="0" w:line="240" w:lineRule="auto"/>
        <w:ind w:left="0" w:firstLine="0"/>
        <w:jc w:val="both"/>
        <w:rPr>
          <w:rFonts w:ascii="Arial" w:hAnsi="Arial" w:cs="Arial"/>
          <w:lang w:val="en-GB" w:eastAsia="de-DE"/>
        </w:rPr>
      </w:pPr>
      <w:r w:rsidRPr="00DD3F55">
        <w:rPr>
          <w:rFonts w:ascii="Arial" w:hAnsi="Arial" w:cs="Arial"/>
          <w:lang w:val="en-GB" w:eastAsia="de-DE"/>
        </w:rPr>
        <w:t xml:space="preserve">Rwanda Environmental Management Agency (REMA); </w:t>
      </w:r>
    </w:p>
    <w:p w:rsidR="00DD3F55" w:rsidRPr="00DD3F55" w:rsidRDefault="00DD3F55" w:rsidP="00DD3F55">
      <w:pPr>
        <w:pStyle w:val="ListParagraph"/>
        <w:widowControl w:val="0"/>
        <w:numPr>
          <w:ilvl w:val="0"/>
          <w:numId w:val="6"/>
        </w:numPr>
        <w:spacing w:after="0" w:line="240" w:lineRule="auto"/>
        <w:ind w:left="0" w:firstLine="0"/>
        <w:jc w:val="both"/>
        <w:rPr>
          <w:rFonts w:ascii="Arial" w:hAnsi="Arial" w:cs="Arial"/>
          <w:lang w:val="en-GB" w:eastAsia="de-DE"/>
        </w:rPr>
      </w:pPr>
      <w:r w:rsidRPr="00DD3F55">
        <w:rPr>
          <w:rFonts w:ascii="Arial" w:hAnsi="Arial" w:cs="Arial"/>
          <w:lang w:val="en-GB" w:eastAsia="de-DE"/>
        </w:rPr>
        <w:t>Water and Sanitation Corporation ( WASAC Ltd)</w:t>
      </w:r>
    </w:p>
    <w:p w:rsidR="00DD3F55" w:rsidRPr="00DD3F55" w:rsidRDefault="00DD3F55" w:rsidP="00DD3F55">
      <w:pPr>
        <w:pStyle w:val="ListParagraph"/>
        <w:widowControl w:val="0"/>
        <w:numPr>
          <w:ilvl w:val="0"/>
          <w:numId w:val="6"/>
        </w:numPr>
        <w:spacing w:after="0" w:line="240" w:lineRule="auto"/>
        <w:ind w:left="0" w:firstLine="0"/>
        <w:jc w:val="both"/>
        <w:rPr>
          <w:rFonts w:ascii="Arial" w:hAnsi="Arial" w:cs="Arial"/>
          <w:lang w:val="en-GB" w:eastAsia="de-DE"/>
        </w:rPr>
      </w:pPr>
      <w:r w:rsidRPr="00DD3F55">
        <w:rPr>
          <w:rFonts w:ascii="Arial" w:hAnsi="Arial" w:cs="Arial"/>
          <w:lang w:val="en-GB" w:eastAsia="de-DE"/>
        </w:rPr>
        <w:t xml:space="preserve">Private Sector </w:t>
      </w:r>
      <w:r>
        <w:rPr>
          <w:rFonts w:ascii="Arial" w:hAnsi="Arial" w:cs="Arial"/>
          <w:lang w:val="en-GB" w:eastAsia="de-DE"/>
        </w:rPr>
        <w:t>(Chambers of Commerce and Private Sector Water Operators);</w:t>
      </w:r>
    </w:p>
    <w:p w:rsidR="00DD3F55" w:rsidRPr="00DD3F55" w:rsidRDefault="00DD3F55" w:rsidP="00DD3F55">
      <w:pPr>
        <w:pStyle w:val="ListParagraph"/>
        <w:widowControl w:val="0"/>
        <w:numPr>
          <w:ilvl w:val="0"/>
          <w:numId w:val="6"/>
        </w:numPr>
        <w:spacing w:after="0" w:line="240" w:lineRule="auto"/>
        <w:ind w:left="0" w:firstLine="0"/>
        <w:jc w:val="both"/>
        <w:rPr>
          <w:rFonts w:ascii="Arial" w:hAnsi="Arial" w:cs="Arial"/>
          <w:lang w:val="en-GB" w:eastAsia="de-DE"/>
        </w:rPr>
      </w:pPr>
      <w:r w:rsidRPr="00DD3F55">
        <w:rPr>
          <w:rFonts w:ascii="Arial" w:hAnsi="Arial" w:cs="Arial"/>
          <w:lang w:val="en-GB" w:eastAsia="de-DE"/>
        </w:rPr>
        <w:t>JICA</w:t>
      </w:r>
      <w:r>
        <w:rPr>
          <w:rFonts w:ascii="Arial" w:hAnsi="Arial" w:cs="Arial"/>
          <w:lang w:val="en-GB" w:eastAsia="de-DE"/>
        </w:rPr>
        <w:t>;</w:t>
      </w:r>
    </w:p>
    <w:p w:rsidR="00DD3F55" w:rsidRPr="00DD3F55" w:rsidRDefault="00DD3F55" w:rsidP="00DD3F55">
      <w:pPr>
        <w:pStyle w:val="ListParagraph"/>
        <w:widowControl w:val="0"/>
        <w:numPr>
          <w:ilvl w:val="0"/>
          <w:numId w:val="6"/>
        </w:numPr>
        <w:spacing w:after="0" w:line="240" w:lineRule="auto"/>
        <w:ind w:left="0" w:firstLine="0"/>
        <w:jc w:val="both"/>
        <w:rPr>
          <w:rFonts w:ascii="Arial" w:hAnsi="Arial" w:cs="Arial"/>
          <w:lang w:val="en-GB" w:eastAsia="de-DE"/>
        </w:rPr>
      </w:pPr>
      <w:r w:rsidRPr="00DD3F55">
        <w:rPr>
          <w:rFonts w:ascii="Arial" w:hAnsi="Arial" w:cs="Arial"/>
          <w:lang w:val="en-GB" w:eastAsia="de-DE"/>
        </w:rPr>
        <w:t>UNICEF</w:t>
      </w:r>
      <w:r>
        <w:rPr>
          <w:rFonts w:ascii="Arial" w:hAnsi="Arial" w:cs="Arial"/>
          <w:lang w:val="en-GB" w:eastAsia="de-DE"/>
        </w:rPr>
        <w:t>;</w:t>
      </w:r>
    </w:p>
    <w:p w:rsidR="00DD3F55" w:rsidRPr="00DD3F55" w:rsidRDefault="00DD3F55" w:rsidP="00DD3F55">
      <w:pPr>
        <w:pStyle w:val="ListParagraph"/>
        <w:widowControl w:val="0"/>
        <w:numPr>
          <w:ilvl w:val="0"/>
          <w:numId w:val="6"/>
        </w:numPr>
        <w:spacing w:after="0" w:line="240" w:lineRule="auto"/>
        <w:ind w:left="0" w:firstLine="0"/>
        <w:jc w:val="both"/>
        <w:rPr>
          <w:rFonts w:ascii="Arial" w:hAnsi="Arial" w:cs="Arial"/>
          <w:lang w:val="en-GB" w:eastAsia="de-DE"/>
        </w:rPr>
      </w:pPr>
      <w:r w:rsidRPr="00DD3F55">
        <w:rPr>
          <w:rFonts w:ascii="Arial" w:hAnsi="Arial" w:cs="Arial"/>
          <w:lang w:val="en-GB" w:eastAsia="de-DE"/>
        </w:rPr>
        <w:t>Water Aid</w:t>
      </w:r>
      <w:r>
        <w:rPr>
          <w:rFonts w:ascii="Arial" w:hAnsi="Arial" w:cs="Arial"/>
          <w:lang w:val="en-GB" w:eastAsia="de-DE"/>
        </w:rPr>
        <w:t>;</w:t>
      </w:r>
    </w:p>
    <w:p w:rsidR="00DD3F55" w:rsidRPr="00DD3F55" w:rsidRDefault="00DD3F55" w:rsidP="00DD3F55">
      <w:pPr>
        <w:pStyle w:val="ListParagraph"/>
        <w:widowControl w:val="0"/>
        <w:numPr>
          <w:ilvl w:val="0"/>
          <w:numId w:val="6"/>
        </w:numPr>
        <w:spacing w:after="0" w:line="240" w:lineRule="auto"/>
        <w:ind w:left="0" w:firstLine="0"/>
        <w:jc w:val="both"/>
        <w:rPr>
          <w:rFonts w:ascii="Arial" w:hAnsi="Arial" w:cs="Arial"/>
          <w:lang w:val="en-GB" w:eastAsia="de-DE"/>
        </w:rPr>
      </w:pPr>
      <w:r w:rsidRPr="00DD3F55">
        <w:rPr>
          <w:rFonts w:ascii="Arial" w:hAnsi="Arial" w:cs="Arial"/>
          <w:lang w:val="en-GB" w:eastAsia="de-DE"/>
        </w:rPr>
        <w:t>Water for People</w:t>
      </w:r>
      <w:r>
        <w:rPr>
          <w:rFonts w:ascii="Arial" w:hAnsi="Arial" w:cs="Arial"/>
          <w:lang w:val="en-GB" w:eastAsia="de-DE"/>
        </w:rPr>
        <w:t>; and</w:t>
      </w:r>
    </w:p>
    <w:p w:rsidR="00DD3F55" w:rsidRDefault="00DD3F55" w:rsidP="00DD3F55">
      <w:pPr>
        <w:pStyle w:val="ListParagraph"/>
        <w:widowControl w:val="0"/>
        <w:numPr>
          <w:ilvl w:val="0"/>
          <w:numId w:val="6"/>
        </w:numPr>
        <w:spacing w:after="0" w:line="240" w:lineRule="auto"/>
        <w:ind w:left="0" w:firstLine="0"/>
        <w:jc w:val="both"/>
        <w:rPr>
          <w:rFonts w:ascii="Arial" w:hAnsi="Arial" w:cs="Arial"/>
          <w:lang w:val="en-GB" w:eastAsia="de-DE"/>
        </w:rPr>
      </w:pPr>
      <w:r w:rsidRPr="00DD3F55">
        <w:rPr>
          <w:rFonts w:ascii="Arial" w:hAnsi="Arial" w:cs="Arial"/>
          <w:lang w:val="en-GB" w:eastAsia="de-DE"/>
        </w:rPr>
        <w:t xml:space="preserve">SDC </w:t>
      </w:r>
    </w:p>
    <w:p w:rsidR="00BA1469" w:rsidRPr="00DD3F55" w:rsidRDefault="00BA1469" w:rsidP="00DD3F55">
      <w:pPr>
        <w:pStyle w:val="ListParagraph"/>
        <w:widowControl w:val="0"/>
        <w:numPr>
          <w:ilvl w:val="0"/>
          <w:numId w:val="6"/>
        </w:numPr>
        <w:spacing w:after="0" w:line="240" w:lineRule="auto"/>
        <w:ind w:left="0" w:firstLine="0"/>
        <w:jc w:val="both"/>
        <w:rPr>
          <w:rFonts w:ascii="Arial" w:hAnsi="Arial" w:cs="Arial"/>
          <w:lang w:val="en-GB" w:eastAsia="de-DE"/>
        </w:rPr>
      </w:pPr>
      <w:r>
        <w:rPr>
          <w:rFonts w:ascii="Arial" w:hAnsi="Arial" w:cs="Arial"/>
          <w:lang w:val="en-GB" w:eastAsia="de-DE"/>
        </w:rPr>
        <w:t xml:space="preserve">WatSan Secretariat Coordinator, MinInfra (Secretary) </w:t>
      </w:r>
    </w:p>
    <w:p w:rsidR="00DD3F55" w:rsidRDefault="00DD3F55" w:rsidP="00DD3F55">
      <w:pPr>
        <w:pStyle w:val="ListParagraph"/>
        <w:widowControl w:val="0"/>
        <w:spacing w:after="0" w:line="240" w:lineRule="auto"/>
        <w:jc w:val="both"/>
        <w:rPr>
          <w:rFonts w:ascii="Arial" w:hAnsi="Arial" w:cs="Arial"/>
          <w:lang w:val="en-GB" w:eastAsia="de-DE"/>
        </w:rPr>
      </w:pPr>
    </w:p>
    <w:p w:rsidR="00DD3F55" w:rsidRPr="00DD3F55" w:rsidRDefault="00DD3F55" w:rsidP="00DD3F55">
      <w:pPr>
        <w:pStyle w:val="ListParagraph"/>
        <w:widowControl w:val="0"/>
        <w:spacing w:after="0" w:line="240" w:lineRule="auto"/>
        <w:jc w:val="both"/>
        <w:rPr>
          <w:rFonts w:ascii="Arial" w:hAnsi="Arial" w:cs="Arial"/>
          <w:lang w:val="en-GB" w:eastAsia="de-DE"/>
        </w:rPr>
      </w:pPr>
    </w:p>
    <w:p w:rsidR="00DD3F55" w:rsidRPr="00DD3F55" w:rsidRDefault="00DD3F55" w:rsidP="00DD3F55">
      <w:pPr>
        <w:pStyle w:val="ListParagraph"/>
        <w:numPr>
          <w:ilvl w:val="0"/>
          <w:numId w:val="3"/>
        </w:numPr>
        <w:tabs>
          <w:tab w:val="left" w:pos="2258"/>
        </w:tabs>
        <w:spacing w:after="0" w:line="240" w:lineRule="auto"/>
        <w:jc w:val="both"/>
        <w:rPr>
          <w:rFonts w:ascii="Arial" w:hAnsi="Arial" w:cs="Arial"/>
          <w:b/>
        </w:rPr>
      </w:pPr>
      <w:r w:rsidRPr="00DD3F55">
        <w:rPr>
          <w:rFonts w:ascii="Arial" w:hAnsi="Arial" w:cs="Arial"/>
          <w:b/>
        </w:rPr>
        <w:t xml:space="preserve">Timeline/ Roadmap </w:t>
      </w:r>
    </w:p>
    <w:p w:rsidR="00DD3F55" w:rsidRDefault="00DD3F55" w:rsidP="00DD3F55">
      <w:pPr>
        <w:spacing w:after="0" w:line="240" w:lineRule="auto"/>
        <w:jc w:val="both"/>
        <w:rPr>
          <w:rFonts w:ascii="Arial" w:hAnsi="Arial" w:cs="Arial"/>
        </w:rPr>
      </w:pPr>
      <w:r>
        <w:rPr>
          <w:rFonts w:ascii="Arial" w:hAnsi="Arial" w:cs="Arial"/>
        </w:rPr>
        <w:t xml:space="preserve">The proposed timeline for updating of the policy is attached as Annex-1. </w:t>
      </w:r>
    </w:p>
    <w:sectPr w:rsidR="00DD3F55">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1A" w:rsidRDefault="0090671A" w:rsidP="00DD3F55">
      <w:pPr>
        <w:spacing w:after="0" w:line="240" w:lineRule="auto"/>
      </w:pPr>
      <w:r>
        <w:separator/>
      </w:r>
    </w:p>
  </w:endnote>
  <w:endnote w:type="continuationSeparator" w:id="0">
    <w:p w:rsidR="0090671A" w:rsidRDefault="0090671A" w:rsidP="00DD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43307"/>
      <w:docPartObj>
        <w:docPartGallery w:val="Page Numbers (Bottom of Page)"/>
        <w:docPartUnique/>
      </w:docPartObj>
    </w:sdtPr>
    <w:sdtEndPr>
      <w:rPr>
        <w:noProof/>
      </w:rPr>
    </w:sdtEndPr>
    <w:sdtContent>
      <w:p w:rsidR="00DD3F55" w:rsidRDefault="00DD3F55">
        <w:pPr>
          <w:pStyle w:val="Footer"/>
          <w:jc w:val="center"/>
        </w:pPr>
        <w:r>
          <w:fldChar w:fldCharType="begin"/>
        </w:r>
        <w:r>
          <w:instrText xml:space="preserve"> PAGE   \* MERGEFORMAT </w:instrText>
        </w:r>
        <w:r>
          <w:fldChar w:fldCharType="separate"/>
        </w:r>
        <w:r w:rsidR="007A5DCD">
          <w:rPr>
            <w:noProof/>
          </w:rPr>
          <w:t>3</w:t>
        </w:r>
        <w:r>
          <w:rPr>
            <w:noProof/>
          </w:rPr>
          <w:fldChar w:fldCharType="end"/>
        </w:r>
      </w:p>
    </w:sdtContent>
  </w:sdt>
  <w:p w:rsidR="00DD3F55" w:rsidRDefault="00DD3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1A" w:rsidRDefault="0090671A" w:rsidP="00DD3F55">
      <w:pPr>
        <w:spacing w:after="0" w:line="240" w:lineRule="auto"/>
      </w:pPr>
      <w:r>
        <w:separator/>
      </w:r>
    </w:p>
  </w:footnote>
  <w:footnote w:type="continuationSeparator" w:id="0">
    <w:p w:rsidR="0090671A" w:rsidRDefault="0090671A" w:rsidP="00DD3F55">
      <w:pPr>
        <w:spacing w:after="0" w:line="240" w:lineRule="auto"/>
      </w:pPr>
      <w:r>
        <w:continuationSeparator/>
      </w:r>
    </w:p>
  </w:footnote>
  <w:footnote w:id="1">
    <w:p w:rsidR="004759EC" w:rsidRDefault="004759EC">
      <w:pPr>
        <w:pStyle w:val="FootnoteText"/>
      </w:pPr>
      <w:r>
        <w:rPr>
          <w:rStyle w:val="FootnoteReference"/>
        </w:rPr>
        <w:footnoteRef/>
      </w:r>
      <w:r>
        <w:t xml:space="preserve"> Source: EDPRS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136"/>
    <w:multiLevelType w:val="hybridMultilevel"/>
    <w:tmpl w:val="0EF4FF7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049E5"/>
    <w:multiLevelType w:val="hybridMultilevel"/>
    <w:tmpl w:val="169499F0"/>
    <w:lvl w:ilvl="0" w:tplc="2102AA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73F0E"/>
    <w:multiLevelType w:val="hybridMultilevel"/>
    <w:tmpl w:val="C0F05AB6"/>
    <w:lvl w:ilvl="0" w:tplc="3B3E3E0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555B1"/>
    <w:multiLevelType w:val="hybridMultilevel"/>
    <w:tmpl w:val="D35C2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0265C0"/>
    <w:multiLevelType w:val="hybridMultilevel"/>
    <w:tmpl w:val="469C2A30"/>
    <w:lvl w:ilvl="0" w:tplc="C3808254">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284D90"/>
    <w:multiLevelType w:val="hybridMultilevel"/>
    <w:tmpl w:val="BBF09DCA"/>
    <w:lvl w:ilvl="0" w:tplc="2102AACE">
      <w:start w:val="1"/>
      <w:numFmt w:val="lowerRoman"/>
      <w:lvlText w:val="(%1)"/>
      <w:lvlJc w:val="left"/>
      <w:pPr>
        <w:ind w:left="5760" w:hanging="360"/>
      </w:pPr>
      <w:rPr>
        <w:rFont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55"/>
    <w:rsid w:val="0011235F"/>
    <w:rsid w:val="002D2E06"/>
    <w:rsid w:val="002D3E16"/>
    <w:rsid w:val="002E2A23"/>
    <w:rsid w:val="003E28BC"/>
    <w:rsid w:val="004759EC"/>
    <w:rsid w:val="004E55DE"/>
    <w:rsid w:val="005240DA"/>
    <w:rsid w:val="006F6C1D"/>
    <w:rsid w:val="007620AD"/>
    <w:rsid w:val="007A5DCD"/>
    <w:rsid w:val="007C3AEC"/>
    <w:rsid w:val="0090671A"/>
    <w:rsid w:val="00912699"/>
    <w:rsid w:val="00956580"/>
    <w:rsid w:val="00A101C2"/>
    <w:rsid w:val="00B0118D"/>
    <w:rsid w:val="00B12EB9"/>
    <w:rsid w:val="00B44B5C"/>
    <w:rsid w:val="00B868D8"/>
    <w:rsid w:val="00B964E0"/>
    <w:rsid w:val="00BA1469"/>
    <w:rsid w:val="00CE1068"/>
    <w:rsid w:val="00DC0BA3"/>
    <w:rsid w:val="00DD3F55"/>
    <w:rsid w:val="00E925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55"/>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F55"/>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paragraph" w:styleId="ListParagraph">
    <w:name w:val="List Paragraph"/>
    <w:basedOn w:val="Normal"/>
    <w:uiPriority w:val="34"/>
    <w:qFormat/>
    <w:rsid w:val="00DD3F55"/>
    <w:pPr>
      <w:ind w:left="720"/>
      <w:contextualSpacing/>
    </w:pPr>
  </w:style>
  <w:style w:type="table" w:styleId="TableGrid">
    <w:name w:val="Table Grid"/>
    <w:basedOn w:val="TableNormal"/>
    <w:uiPriority w:val="59"/>
    <w:rsid w:val="00DD3F55"/>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3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F55"/>
    <w:rPr>
      <w:rFonts w:eastAsiaTheme="minorEastAsia"/>
      <w:lang w:val="en-US" w:eastAsia="zh-CN"/>
    </w:rPr>
  </w:style>
  <w:style w:type="paragraph" w:styleId="Footer">
    <w:name w:val="footer"/>
    <w:basedOn w:val="Normal"/>
    <w:link w:val="FooterChar"/>
    <w:uiPriority w:val="99"/>
    <w:unhideWhenUsed/>
    <w:rsid w:val="00DD3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F55"/>
    <w:rPr>
      <w:rFonts w:eastAsiaTheme="minorEastAsia"/>
      <w:lang w:val="en-US" w:eastAsia="zh-CN"/>
    </w:rPr>
  </w:style>
  <w:style w:type="paragraph" w:styleId="BalloonText">
    <w:name w:val="Balloon Text"/>
    <w:basedOn w:val="Normal"/>
    <w:link w:val="BalloonTextChar"/>
    <w:uiPriority w:val="99"/>
    <w:semiHidden/>
    <w:unhideWhenUsed/>
    <w:rsid w:val="00475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9EC"/>
    <w:rPr>
      <w:rFonts w:ascii="Segoe UI" w:eastAsiaTheme="minorEastAsia" w:hAnsi="Segoe UI" w:cs="Segoe UI"/>
      <w:sz w:val="18"/>
      <w:szCs w:val="18"/>
      <w:lang w:val="en-US" w:eastAsia="zh-CN"/>
    </w:rPr>
  </w:style>
  <w:style w:type="paragraph" w:styleId="FootnoteText">
    <w:name w:val="footnote text"/>
    <w:basedOn w:val="Normal"/>
    <w:link w:val="FootnoteTextChar"/>
    <w:uiPriority w:val="99"/>
    <w:semiHidden/>
    <w:unhideWhenUsed/>
    <w:rsid w:val="00475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9EC"/>
    <w:rPr>
      <w:rFonts w:eastAsiaTheme="minorEastAsia"/>
      <w:sz w:val="20"/>
      <w:szCs w:val="20"/>
      <w:lang w:val="en-US" w:eastAsia="zh-CN"/>
    </w:rPr>
  </w:style>
  <w:style w:type="character" w:styleId="FootnoteReference">
    <w:name w:val="footnote reference"/>
    <w:basedOn w:val="DefaultParagraphFont"/>
    <w:uiPriority w:val="99"/>
    <w:semiHidden/>
    <w:unhideWhenUsed/>
    <w:rsid w:val="00475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55"/>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F55"/>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paragraph" w:styleId="ListParagraph">
    <w:name w:val="List Paragraph"/>
    <w:basedOn w:val="Normal"/>
    <w:uiPriority w:val="34"/>
    <w:qFormat/>
    <w:rsid w:val="00DD3F55"/>
    <w:pPr>
      <w:ind w:left="720"/>
      <w:contextualSpacing/>
    </w:pPr>
  </w:style>
  <w:style w:type="table" w:styleId="TableGrid">
    <w:name w:val="Table Grid"/>
    <w:basedOn w:val="TableNormal"/>
    <w:uiPriority w:val="59"/>
    <w:rsid w:val="00DD3F55"/>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3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F55"/>
    <w:rPr>
      <w:rFonts w:eastAsiaTheme="minorEastAsia"/>
      <w:lang w:val="en-US" w:eastAsia="zh-CN"/>
    </w:rPr>
  </w:style>
  <w:style w:type="paragraph" w:styleId="Footer">
    <w:name w:val="footer"/>
    <w:basedOn w:val="Normal"/>
    <w:link w:val="FooterChar"/>
    <w:uiPriority w:val="99"/>
    <w:unhideWhenUsed/>
    <w:rsid w:val="00DD3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F55"/>
    <w:rPr>
      <w:rFonts w:eastAsiaTheme="minorEastAsia"/>
      <w:lang w:val="en-US" w:eastAsia="zh-CN"/>
    </w:rPr>
  </w:style>
  <w:style w:type="paragraph" w:styleId="BalloonText">
    <w:name w:val="Balloon Text"/>
    <w:basedOn w:val="Normal"/>
    <w:link w:val="BalloonTextChar"/>
    <w:uiPriority w:val="99"/>
    <w:semiHidden/>
    <w:unhideWhenUsed/>
    <w:rsid w:val="00475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9EC"/>
    <w:rPr>
      <w:rFonts w:ascii="Segoe UI" w:eastAsiaTheme="minorEastAsia" w:hAnsi="Segoe UI" w:cs="Segoe UI"/>
      <w:sz w:val="18"/>
      <w:szCs w:val="18"/>
      <w:lang w:val="en-US" w:eastAsia="zh-CN"/>
    </w:rPr>
  </w:style>
  <w:style w:type="paragraph" w:styleId="FootnoteText">
    <w:name w:val="footnote text"/>
    <w:basedOn w:val="Normal"/>
    <w:link w:val="FootnoteTextChar"/>
    <w:uiPriority w:val="99"/>
    <w:semiHidden/>
    <w:unhideWhenUsed/>
    <w:rsid w:val="00475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9EC"/>
    <w:rPr>
      <w:rFonts w:eastAsiaTheme="minorEastAsia"/>
      <w:sz w:val="20"/>
      <w:szCs w:val="20"/>
      <w:lang w:val="en-US" w:eastAsia="zh-CN"/>
    </w:rPr>
  </w:style>
  <w:style w:type="character" w:styleId="FootnoteReference">
    <w:name w:val="footnote reference"/>
    <w:basedOn w:val="DefaultParagraphFont"/>
    <w:uiPriority w:val="99"/>
    <w:semiHidden/>
    <w:unhideWhenUsed/>
    <w:rsid w:val="00475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2974C-E4DB-44CD-8BA4-FED918C0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d'amour Gatera</dc:creator>
  <cp:lastModifiedBy>Jean d'amour Gatera</cp:lastModifiedBy>
  <cp:revision>2</cp:revision>
  <cp:lastPrinted>2014-12-22T13:45:00Z</cp:lastPrinted>
  <dcterms:created xsi:type="dcterms:W3CDTF">2015-05-14T12:31:00Z</dcterms:created>
  <dcterms:modified xsi:type="dcterms:W3CDTF">2015-05-14T12:31:00Z</dcterms:modified>
</cp:coreProperties>
</file>