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27" w:rsidRPr="000A0BFB" w:rsidRDefault="00DB0A27" w:rsidP="00F8479D">
      <w:pPr>
        <w:pStyle w:val="Deloitte2"/>
        <w:jc w:val="center"/>
        <w:outlineLvl w:val="9"/>
        <w:rPr>
          <w:sz w:val="22"/>
          <w:szCs w:val="20"/>
        </w:rPr>
      </w:pPr>
      <w:bookmarkStart w:id="0" w:name="_GoBack"/>
      <w:bookmarkEnd w:id="0"/>
    </w:p>
    <w:p w:rsidR="00DB0A27" w:rsidRPr="000A0BFB" w:rsidRDefault="00DB0A27" w:rsidP="00AD6650">
      <w:pPr>
        <w:spacing w:beforeLines="100" w:before="240"/>
        <w:ind w:left="2272"/>
        <w:rPr>
          <w:rFonts w:ascii="Arial" w:eastAsia="Times New Roman" w:hAnsi="Arial" w:cs="Arial"/>
          <w:color w:val="002776"/>
          <w:spacing w:val="-1"/>
          <w:sz w:val="72"/>
          <w:szCs w:val="70"/>
        </w:rPr>
      </w:pPr>
    </w:p>
    <w:p w:rsidR="00DB0A27" w:rsidRPr="000A0BFB" w:rsidRDefault="00DB0A27" w:rsidP="00AD6650">
      <w:pPr>
        <w:spacing w:beforeLines="100" w:before="240"/>
        <w:jc w:val="center"/>
        <w:rPr>
          <w:rFonts w:ascii="Arial" w:eastAsia="Times New Roman" w:hAnsi="Arial" w:cs="Arial"/>
          <w:sz w:val="72"/>
          <w:szCs w:val="70"/>
        </w:rPr>
      </w:pPr>
      <w:r w:rsidRPr="000A0BFB">
        <w:rPr>
          <w:rFonts w:ascii="Arial" w:eastAsia="Times New Roman" w:hAnsi="Arial" w:cs="Arial"/>
          <w:color w:val="002776"/>
          <w:spacing w:val="-1"/>
          <w:sz w:val="72"/>
          <w:szCs w:val="70"/>
        </w:rPr>
        <w:t>Lessons Learned</w:t>
      </w:r>
      <w:r w:rsidRPr="000A0BFB">
        <w:rPr>
          <w:rFonts w:ascii="Arial" w:eastAsia="Times New Roman" w:hAnsi="Arial" w:cs="Arial"/>
          <w:color w:val="002776"/>
          <w:sz w:val="72"/>
          <w:szCs w:val="70"/>
        </w:rPr>
        <w:t>:</w:t>
      </w:r>
    </w:p>
    <w:p w:rsidR="00DB0A27" w:rsidRPr="000A0BFB" w:rsidRDefault="00DB0A27" w:rsidP="00AD6650">
      <w:pPr>
        <w:spacing w:beforeLines="100" w:before="240"/>
        <w:jc w:val="center"/>
        <w:rPr>
          <w:rFonts w:ascii="Arial" w:eastAsia="Times New Roman" w:hAnsi="Arial" w:cs="Arial"/>
          <w:color w:val="92D400"/>
          <w:spacing w:val="-50"/>
          <w:sz w:val="70"/>
          <w:szCs w:val="70"/>
        </w:rPr>
      </w:pPr>
      <w:r w:rsidRPr="000A0BFB">
        <w:rPr>
          <w:rFonts w:ascii="Arial" w:eastAsia="Times New Roman" w:hAnsi="Arial" w:cs="Arial"/>
          <w:color w:val="92D400"/>
          <w:spacing w:val="-50"/>
          <w:sz w:val="70"/>
          <w:szCs w:val="70"/>
        </w:rPr>
        <w:t>P</w:t>
      </w:r>
      <w:r w:rsidR="003F7B72" w:rsidRPr="000A0BFB">
        <w:rPr>
          <w:rFonts w:ascii="Arial" w:eastAsia="Times New Roman" w:hAnsi="Arial" w:cs="Arial"/>
          <w:color w:val="92D400"/>
          <w:spacing w:val="-50"/>
          <w:sz w:val="70"/>
          <w:szCs w:val="70"/>
        </w:rPr>
        <w:t>ublic-</w:t>
      </w:r>
      <w:r w:rsidRPr="000A0BFB">
        <w:rPr>
          <w:rFonts w:ascii="Arial" w:eastAsia="Times New Roman" w:hAnsi="Arial" w:cs="Arial"/>
          <w:color w:val="92D400"/>
          <w:spacing w:val="-50"/>
          <w:sz w:val="70"/>
          <w:szCs w:val="70"/>
        </w:rPr>
        <w:t>P</w:t>
      </w:r>
      <w:r w:rsidR="003F7B72" w:rsidRPr="000A0BFB">
        <w:rPr>
          <w:rFonts w:ascii="Arial" w:eastAsia="Times New Roman" w:hAnsi="Arial" w:cs="Arial"/>
          <w:color w:val="92D400"/>
          <w:spacing w:val="-50"/>
          <w:sz w:val="70"/>
          <w:szCs w:val="70"/>
        </w:rPr>
        <w:t xml:space="preserve">rivate </w:t>
      </w:r>
      <w:r w:rsidRPr="000A0BFB">
        <w:rPr>
          <w:rFonts w:ascii="Arial" w:eastAsia="Times New Roman" w:hAnsi="Arial" w:cs="Arial"/>
          <w:color w:val="92D400"/>
          <w:spacing w:val="-50"/>
          <w:sz w:val="70"/>
          <w:szCs w:val="70"/>
        </w:rPr>
        <w:t>P</w:t>
      </w:r>
      <w:r w:rsidR="003F7B72" w:rsidRPr="000A0BFB">
        <w:rPr>
          <w:rFonts w:ascii="Arial" w:eastAsia="Times New Roman" w:hAnsi="Arial" w:cs="Arial"/>
          <w:color w:val="92D400"/>
          <w:spacing w:val="-50"/>
          <w:sz w:val="70"/>
          <w:szCs w:val="70"/>
        </w:rPr>
        <w:t>artnership</w:t>
      </w:r>
      <w:r w:rsidRPr="000A0BFB">
        <w:rPr>
          <w:rFonts w:ascii="Arial" w:eastAsia="Times New Roman" w:hAnsi="Arial" w:cs="Arial"/>
          <w:color w:val="92D400"/>
          <w:spacing w:val="-50"/>
          <w:sz w:val="70"/>
          <w:szCs w:val="70"/>
        </w:rPr>
        <w:t xml:space="preserve">s </w:t>
      </w:r>
      <w:r w:rsidR="00453272" w:rsidRPr="000A0BFB">
        <w:rPr>
          <w:rFonts w:ascii="Arial" w:eastAsia="Times New Roman" w:hAnsi="Arial" w:cs="Arial"/>
          <w:color w:val="92D400"/>
          <w:spacing w:val="-50"/>
          <w:sz w:val="70"/>
          <w:szCs w:val="70"/>
        </w:rPr>
        <w:t xml:space="preserve">(PPPs) </w:t>
      </w:r>
      <w:r w:rsidRPr="000A0BFB">
        <w:rPr>
          <w:rFonts w:ascii="Arial" w:eastAsia="Times New Roman" w:hAnsi="Arial" w:cs="Arial"/>
          <w:color w:val="92D400"/>
          <w:spacing w:val="-50"/>
          <w:sz w:val="70"/>
          <w:szCs w:val="70"/>
        </w:rPr>
        <w:t>in the Delivery of Wastewater and Sludge Treatment Services</w:t>
      </w:r>
    </w:p>
    <w:p w:rsidR="00DB0A27" w:rsidRPr="000A0BFB" w:rsidRDefault="003F192E" w:rsidP="00AD6650">
      <w:pPr>
        <w:spacing w:beforeLines="100" w:before="240"/>
        <w:jc w:val="center"/>
        <w:rPr>
          <w:rFonts w:ascii="Arial" w:eastAsia="Times New Roman" w:hAnsi="Arial" w:cs="Arial"/>
          <w:sz w:val="70"/>
          <w:szCs w:val="70"/>
        </w:rPr>
      </w:pPr>
      <w:r w:rsidRPr="000A0BFB">
        <w:rPr>
          <w:rFonts w:ascii="Arial" w:hAnsi="Arial" w:cs="Arial"/>
          <w:color w:val="002776"/>
        </w:rPr>
        <w:t xml:space="preserve">November </w:t>
      </w:r>
      <w:r w:rsidR="00DB0A27" w:rsidRPr="000A0BFB">
        <w:rPr>
          <w:rFonts w:ascii="Arial" w:hAnsi="Arial" w:cs="Arial"/>
          <w:color w:val="002776"/>
        </w:rPr>
        <w:t>2014</w:t>
      </w:r>
    </w:p>
    <w:p w:rsidR="005520FF" w:rsidRPr="000A0BFB" w:rsidRDefault="00AD6650">
      <w:pPr>
        <w:rPr>
          <w:rFonts w:ascii="Arial" w:eastAsiaTheme="majorEastAsia" w:hAnsi="Arial" w:cs="Arial"/>
          <w:b/>
          <w:bCs/>
          <w:color w:val="002060"/>
          <w:sz w:val="24"/>
        </w:rPr>
      </w:pPr>
      <w:r>
        <w:rPr>
          <w:rFonts w:ascii="Arial" w:hAnsi="Arial" w:cs="Arial"/>
          <w:noProof/>
          <w:color w:val="002060"/>
          <w:sz w:val="24"/>
          <w:lang w:eastAsia="zh-CN"/>
        </w:rPr>
        <mc:AlternateContent>
          <mc:Choice Requires="wpg">
            <w:drawing>
              <wp:anchor distT="0" distB="0" distL="114300" distR="114300" simplePos="0" relativeHeight="251658240" behindDoc="1" locked="0" layoutInCell="1" allowOverlap="1">
                <wp:simplePos x="0" y="0"/>
                <wp:positionH relativeFrom="page">
                  <wp:posOffset>5480050</wp:posOffset>
                </wp:positionH>
                <wp:positionV relativeFrom="page">
                  <wp:posOffset>8980805</wp:posOffset>
                </wp:positionV>
                <wp:extent cx="1574800" cy="555625"/>
                <wp:effectExtent l="0" t="0" r="6350" b="0"/>
                <wp:wrapSquare wrapText="bothSides"/>
                <wp:docPr id="728"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555625"/>
                          <a:chOff x="727" y="428"/>
                          <a:chExt cx="5980" cy="1830"/>
                        </a:xfrm>
                      </wpg:grpSpPr>
                      <pic:pic xmlns:pic="http://schemas.openxmlformats.org/drawingml/2006/picture">
                        <pic:nvPicPr>
                          <pic:cNvPr id="729" name="Picture 7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6" y="708"/>
                            <a:ext cx="5357"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0" name="Picture 7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7" y="428"/>
                            <a:ext cx="5980" cy="18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7E59D9" id="Group 720" o:spid="_x0000_s1026" style="position:absolute;margin-left:431.5pt;margin-top:707.15pt;width:124pt;height:43.75pt;z-index:-251658240;mso-position-horizontal-relative:page;mso-position-vertical-relative:page" coordorigin="727,428" coordsize="5980,1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 o:spid="_x0000_s1027" type="#_x0000_t75" style="position:absolute;left:856;top:708;width:5357;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za8DHAAAA3AAAAA8AAABkcnMvZG93bnJldi54bWxEj0FrwkAQhe8F/8MyQi9FN3qwMbqKiAWx&#10;pWIU9DhkxySYnQ3ZNcZ/3y0Ueny8ed+bN192phItNa60rGA0jEAQZ1aXnCs4HT8GMQjnkTVWlknB&#10;kxwsF72XOSbaPvhAbepzESDsElRQeF8nUrqsIINuaGvi4F1tY9AH2eRSN/gIcFPJcRRNpMGSQ0OB&#10;Na0Lym7p3YQ3qul3+xm3u/11l75dbpv9+esklXrtd6sZCE+d/z/+S2+1gvfxFH7HBALIx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za8DHAAAA3AAAAA8AAAAAAAAAAAAA&#10;AAAAnwIAAGRycy9kb3ducmV2LnhtbFBLBQYAAAAABAAEAPcAAACTAwAAAAA=&#10;">
                  <v:imagedata r:id="rId11" o:title=""/>
                </v:shape>
                <v:shape id="Picture 721" o:spid="_x0000_s1028" type="#_x0000_t75" style="position:absolute;left:727;top:428;width:5980;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Gk2XCAAAA3AAAAA8AAABkcnMvZG93bnJldi54bWxET8uKwjAU3Q/4D+EKsxk01QGVahQVB0Zc&#10;qPWxvjTXttjclCbW+vdmMTDLw3nPFq0pRUO1KywrGPQjEMSp1QVnCs6nn94EhPPIGkvLpOBFDhbz&#10;zscMY22ffKQm8ZkIIexiVJB7X8VSujQng65vK+LA3Wxt0AdYZ1LX+AzhppTDKBpJgwWHhhwrWueU&#10;3pOHUeD2l93Xxibb++aqm9XhNLpGD1Tqs9supyA8tf5f/Of+1QrG32F+OBOOg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pNlwgAAANwAAAAPAAAAAAAAAAAAAAAAAJ8C&#10;AABkcnMvZG93bnJldi54bWxQSwUGAAAAAAQABAD3AAAAjgMAAAAA&#10;">
                  <v:imagedata r:id="rId12" o:title=""/>
                </v:shape>
                <w10:wrap type="square" anchorx="page" anchory="page"/>
              </v:group>
            </w:pict>
          </mc:Fallback>
        </mc:AlternateContent>
      </w:r>
      <w:r w:rsidR="00CD3647" w:rsidRPr="000A0BFB">
        <w:rPr>
          <w:rFonts w:ascii="Arial" w:hAnsi="Arial" w:cs="Arial"/>
          <w:noProof/>
          <w:color w:val="002060"/>
          <w:sz w:val="24"/>
          <w:lang w:eastAsia="zh-CN"/>
        </w:rPr>
        <w:drawing>
          <wp:anchor distT="0" distB="0" distL="114300" distR="114300" simplePos="0" relativeHeight="251673088" behindDoc="0" locked="0" layoutInCell="1" allowOverlap="1">
            <wp:simplePos x="0" y="0"/>
            <wp:positionH relativeFrom="margin">
              <wp:posOffset>-414655</wp:posOffset>
            </wp:positionH>
            <wp:positionV relativeFrom="margin">
              <wp:posOffset>8131810</wp:posOffset>
            </wp:positionV>
            <wp:extent cx="1438910" cy="548640"/>
            <wp:effectExtent l="0" t="0" r="8890" b="3810"/>
            <wp:wrapSquare wrapText="bothSides"/>
            <wp:docPr id="9" name="Picture 9" descr="C:\Users\alescroart\Deskto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scroart\Desktop\s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anchor>
        </w:drawing>
      </w:r>
      <w:r w:rsidR="005520FF" w:rsidRPr="000A0BFB">
        <w:rPr>
          <w:rFonts w:ascii="Arial" w:hAnsi="Arial" w:cs="Arial"/>
          <w:color w:val="002060"/>
          <w:sz w:val="24"/>
        </w:rPr>
        <w:br w:type="page"/>
      </w:r>
    </w:p>
    <w:bookmarkStart w:id="1" w:name="_Toc403638057" w:displacedByCustomXml="next"/>
    <w:bookmarkStart w:id="2" w:name="_Toc404073785" w:displacedByCustomXml="next"/>
    <w:sdt>
      <w:sdtPr>
        <w:rPr>
          <w:rFonts w:ascii="Arial" w:eastAsiaTheme="minorHAnsi" w:hAnsi="Arial" w:cs="Arial"/>
          <w:b w:val="0"/>
          <w:bCs w:val="0"/>
          <w:color w:val="auto"/>
          <w:sz w:val="22"/>
          <w:szCs w:val="22"/>
          <w:lang w:eastAsia="en-US"/>
        </w:rPr>
        <w:id w:val="-2092078097"/>
        <w:docPartObj>
          <w:docPartGallery w:val="Table of Contents"/>
          <w:docPartUnique/>
        </w:docPartObj>
      </w:sdtPr>
      <w:sdtEndPr>
        <w:rPr>
          <w:noProof/>
        </w:rPr>
      </w:sdtEndPr>
      <w:sdtContent>
        <w:p w:rsidR="00FF45C7" w:rsidRPr="0047046B" w:rsidRDefault="005520FF" w:rsidP="00EA61DA">
          <w:pPr>
            <w:pStyle w:val="TOCHeading"/>
            <w:outlineLvl w:val="0"/>
            <w:rPr>
              <w:rFonts w:ascii="Arial" w:hAnsi="Arial" w:cs="Arial"/>
              <w:noProof/>
            </w:rPr>
          </w:pPr>
          <w:r w:rsidRPr="000A0BFB">
            <w:rPr>
              <w:rFonts w:ascii="Arial" w:hAnsi="Arial" w:cs="Arial"/>
              <w:color w:val="002060"/>
            </w:rPr>
            <w:t>Contents</w:t>
          </w:r>
          <w:bookmarkEnd w:id="2"/>
          <w:bookmarkEnd w:id="1"/>
          <w:r w:rsidR="002C6EC1" w:rsidRPr="0047046B">
            <w:rPr>
              <w:rFonts w:ascii="Arial" w:hAnsi="Arial" w:cs="Arial"/>
              <w:b w:val="0"/>
              <w:bCs w:val="0"/>
            </w:rPr>
            <w:fldChar w:fldCharType="begin"/>
          </w:r>
          <w:r w:rsidRPr="0047046B">
            <w:rPr>
              <w:rFonts w:ascii="Arial" w:hAnsi="Arial" w:cs="Arial"/>
            </w:rPr>
            <w:instrText xml:space="preserve"> TOC \o "1-3" \h \z \u </w:instrText>
          </w:r>
          <w:r w:rsidR="002C6EC1" w:rsidRPr="0047046B">
            <w:rPr>
              <w:rFonts w:ascii="Arial" w:hAnsi="Arial" w:cs="Arial"/>
              <w:b w:val="0"/>
              <w:bCs w:val="0"/>
            </w:rPr>
            <w:fldChar w:fldCharType="separate"/>
          </w:r>
        </w:p>
        <w:p w:rsidR="00FF45C7" w:rsidRPr="0047046B" w:rsidRDefault="00FC1A09">
          <w:pPr>
            <w:pStyle w:val="TOC1"/>
            <w:tabs>
              <w:tab w:val="right" w:leader="dot" w:pos="9350"/>
            </w:tabs>
            <w:rPr>
              <w:rFonts w:ascii="Arial" w:eastAsiaTheme="minorEastAsia" w:hAnsi="Arial" w:cs="Arial"/>
              <w:noProof/>
            </w:rPr>
          </w:pPr>
          <w:hyperlink w:anchor="_Toc404073786" w:history="1">
            <w:r w:rsidR="00FF45C7" w:rsidRPr="0047046B">
              <w:rPr>
                <w:rStyle w:val="Hyperlink"/>
                <w:rFonts w:ascii="Arial" w:hAnsi="Arial" w:cs="Arial"/>
                <w:noProof/>
              </w:rPr>
              <w:t>Introduction</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_Toc404073786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3</w:t>
            </w:r>
            <w:r w:rsidR="002C6EC1" w:rsidRPr="0047046B">
              <w:rPr>
                <w:rFonts w:ascii="Arial" w:hAnsi="Arial" w:cs="Arial"/>
                <w:noProof/>
                <w:webHidden/>
              </w:rPr>
              <w:fldChar w:fldCharType="end"/>
            </w:r>
          </w:hyperlink>
        </w:p>
        <w:p w:rsidR="00FF45C7" w:rsidRPr="0047046B" w:rsidRDefault="00FC1A09">
          <w:pPr>
            <w:pStyle w:val="TOC1"/>
            <w:tabs>
              <w:tab w:val="right" w:leader="dot" w:pos="9350"/>
            </w:tabs>
            <w:rPr>
              <w:rFonts w:ascii="Arial" w:eastAsiaTheme="minorEastAsia" w:hAnsi="Arial" w:cs="Arial"/>
              <w:noProof/>
            </w:rPr>
          </w:pPr>
          <w:hyperlink w:anchor="_Toc404073787" w:history="1">
            <w:r w:rsidR="00FF45C7" w:rsidRPr="0047046B">
              <w:rPr>
                <w:rStyle w:val="Hyperlink"/>
                <w:rFonts w:ascii="Arial" w:hAnsi="Arial" w:cs="Arial"/>
                <w:noProof/>
              </w:rPr>
              <w:t>Case Studies: Asia</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_Toc404073787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5</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88" w:history="1">
            <w:r w:rsidR="00FF45C7" w:rsidRPr="0047046B">
              <w:rPr>
                <w:rStyle w:val="Hyperlink"/>
                <w:rFonts w:ascii="Arial" w:hAnsi="Arial" w:cs="Arial"/>
                <w:noProof/>
              </w:rPr>
              <w:t>India: Alandur Sewerage Project</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_Toc404073788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5</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89" w:history="1">
            <w:r w:rsidR="00FF45C7" w:rsidRPr="0047046B">
              <w:rPr>
                <w:rStyle w:val="Hyperlink"/>
                <w:rFonts w:ascii="Arial" w:hAnsi="Arial" w:cs="Arial"/>
                <w:noProof/>
              </w:rPr>
              <w:t>China: Shanghai Zhuyuan No.1</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_Toc404073789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8</w:t>
            </w:r>
            <w:r w:rsidR="002C6EC1" w:rsidRPr="0047046B">
              <w:rPr>
                <w:rFonts w:ascii="Arial" w:hAnsi="Arial" w:cs="Arial"/>
                <w:noProof/>
                <w:webHidden/>
              </w:rPr>
              <w:fldChar w:fldCharType="end"/>
            </w:r>
          </w:hyperlink>
        </w:p>
        <w:p w:rsidR="00FF45C7" w:rsidRPr="0047046B" w:rsidRDefault="00FC1A09">
          <w:pPr>
            <w:pStyle w:val="TOC1"/>
            <w:tabs>
              <w:tab w:val="right" w:leader="dot" w:pos="9350"/>
            </w:tabs>
            <w:rPr>
              <w:rFonts w:ascii="Arial" w:eastAsiaTheme="minorEastAsia" w:hAnsi="Arial" w:cs="Arial"/>
              <w:noProof/>
            </w:rPr>
          </w:pPr>
          <w:hyperlink w:anchor="_Toc404073790" w:history="1">
            <w:r w:rsidR="00FF45C7" w:rsidRPr="0047046B">
              <w:rPr>
                <w:rStyle w:val="Hyperlink"/>
                <w:rFonts w:ascii="Arial" w:hAnsi="Arial" w:cs="Arial"/>
                <w:noProof/>
              </w:rPr>
              <w:t>Case Studies: Africa</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_Toc404073790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11</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91" w:history="1">
            <w:r w:rsidR="00FF45C7" w:rsidRPr="0047046B">
              <w:rPr>
                <w:rStyle w:val="Hyperlink"/>
                <w:rFonts w:ascii="Arial" w:hAnsi="Arial" w:cs="Arial"/>
                <w:noProof/>
              </w:rPr>
              <w:t>Egypt: New Cairo Wastewater Treatment Plant</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_Toc404073791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11</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92" w:history="1">
            <w:r w:rsidR="00FF45C7" w:rsidRPr="0047046B">
              <w:rPr>
                <w:rStyle w:val="Hyperlink"/>
                <w:rFonts w:ascii="Arial" w:hAnsi="Arial" w:cs="Arial"/>
                <w:noProof/>
              </w:rPr>
              <w:t xml:space="preserve">Egypt: Sixth of October </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_Toc404073792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13</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93" w:history="1">
            <w:r w:rsidR="00FF45C7" w:rsidRPr="0047046B">
              <w:rPr>
                <w:rStyle w:val="Hyperlink"/>
                <w:rFonts w:ascii="Arial" w:hAnsi="Arial" w:cs="Arial"/>
                <w:noProof/>
              </w:rPr>
              <w:t>Senegal: ONAS outsources wastewater management</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_Toc404073793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14</w:t>
            </w:r>
            <w:r w:rsidR="002C6EC1" w:rsidRPr="0047046B">
              <w:rPr>
                <w:rFonts w:ascii="Arial" w:hAnsi="Arial" w:cs="Arial"/>
                <w:noProof/>
                <w:webHidden/>
              </w:rPr>
              <w:fldChar w:fldCharType="end"/>
            </w:r>
          </w:hyperlink>
        </w:p>
        <w:p w:rsidR="00FF45C7" w:rsidRPr="0047046B" w:rsidRDefault="00FC1A09">
          <w:pPr>
            <w:pStyle w:val="TOC1"/>
            <w:tabs>
              <w:tab w:val="right" w:leader="dot" w:pos="9350"/>
            </w:tabs>
            <w:rPr>
              <w:rFonts w:ascii="Arial" w:eastAsiaTheme="minorEastAsia" w:hAnsi="Arial" w:cs="Arial"/>
              <w:noProof/>
            </w:rPr>
          </w:pPr>
          <w:hyperlink w:anchor="_Toc404073794" w:history="1">
            <w:r w:rsidR="00FF45C7" w:rsidRPr="0047046B">
              <w:rPr>
                <w:rStyle w:val="Hyperlink"/>
                <w:rFonts w:ascii="Arial" w:hAnsi="Arial" w:cs="Arial"/>
                <w:noProof/>
              </w:rPr>
              <w:t>Case Studies: South America</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_Toc404073794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16</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95" w:history="1">
            <w:r w:rsidR="00FF45C7" w:rsidRPr="0047046B">
              <w:rPr>
                <w:rStyle w:val="Hyperlink"/>
                <w:rFonts w:ascii="Arial" w:hAnsi="Arial" w:cs="Arial"/>
                <w:noProof/>
              </w:rPr>
              <w:t>Honduras: San Pedro Sula Project</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_Toc404073795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16</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96" w:history="1">
            <w:r w:rsidR="00FF45C7" w:rsidRPr="0047046B">
              <w:rPr>
                <w:rStyle w:val="Hyperlink"/>
                <w:rFonts w:ascii="Arial" w:hAnsi="Arial" w:cs="Arial"/>
                <w:noProof/>
              </w:rPr>
              <w:t>Ecuador: Quito Wastewater Project</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_Toc404073796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17</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97" w:history="1">
            <w:r w:rsidR="00FF45C7" w:rsidRPr="0047046B">
              <w:rPr>
                <w:rStyle w:val="Hyperlink"/>
                <w:rFonts w:ascii="Arial" w:hAnsi="Arial" w:cs="Arial"/>
                <w:noProof/>
              </w:rPr>
              <w:t>Argentina: Salta Wastewater PPP</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_Toc404073797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18</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798" w:history="1">
            <w:r w:rsidR="00FF45C7" w:rsidRPr="0047046B">
              <w:rPr>
                <w:rStyle w:val="Hyperlink"/>
                <w:rFonts w:ascii="Arial" w:hAnsi="Arial" w:cs="Arial"/>
                <w:noProof/>
              </w:rPr>
              <w:t>Brazil: São Paulo Water Recovery Project (REAGUA) from 2008–2015</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_Toc404073798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20</w:t>
            </w:r>
            <w:r w:rsidR="002C6EC1" w:rsidRPr="0047046B">
              <w:rPr>
                <w:rFonts w:ascii="Arial" w:hAnsi="Arial" w:cs="Arial"/>
                <w:noProof/>
                <w:webHidden/>
              </w:rPr>
              <w:fldChar w:fldCharType="end"/>
            </w:r>
          </w:hyperlink>
        </w:p>
        <w:p w:rsidR="00FF45C7" w:rsidRPr="0047046B" w:rsidRDefault="00FC1A09">
          <w:pPr>
            <w:pStyle w:val="TOC1"/>
            <w:tabs>
              <w:tab w:val="right" w:leader="dot" w:pos="9350"/>
            </w:tabs>
            <w:rPr>
              <w:rFonts w:ascii="Arial" w:eastAsiaTheme="minorEastAsia" w:hAnsi="Arial" w:cs="Arial"/>
              <w:noProof/>
            </w:rPr>
          </w:pPr>
          <w:hyperlink w:anchor="_Toc404073799" w:history="1">
            <w:r w:rsidR="00FF45C7" w:rsidRPr="0047046B">
              <w:rPr>
                <w:rStyle w:val="Hyperlink"/>
                <w:rFonts w:ascii="Arial" w:hAnsi="Arial" w:cs="Arial"/>
                <w:noProof/>
              </w:rPr>
              <w:t>Case Study: Europe</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_Toc404073799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23</w:t>
            </w:r>
            <w:r w:rsidR="002C6EC1" w:rsidRPr="0047046B">
              <w:rPr>
                <w:rFonts w:ascii="Arial" w:hAnsi="Arial" w:cs="Arial"/>
                <w:noProof/>
                <w:webHidden/>
              </w:rPr>
              <w:fldChar w:fldCharType="end"/>
            </w:r>
          </w:hyperlink>
        </w:p>
        <w:p w:rsidR="00FF45C7" w:rsidRPr="0047046B" w:rsidRDefault="00FC1A09">
          <w:pPr>
            <w:pStyle w:val="TOC2"/>
            <w:tabs>
              <w:tab w:val="right" w:leader="dot" w:pos="9350"/>
            </w:tabs>
            <w:rPr>
              <w:rFonts w:ascii="Arial" w:eastAsiaTheme="minorEastAsia" w:hAnsi="Arial" w:cs="Arial"/>
              <w:noProof/>
            </w:rPr>
          </w:pPr>
          <w:hyperlink w:anchor="_Toc404073800" w:history="1">
            <w:r w:rsidR="00FF45C7" w:rsidRPr="0047046B">
              <w:rPr>
                <w:rStyle w:val="Hyperlink"/>
                <w:rFonts w:ascii="Arial" w:hAnsi="Arial" w:cs="Arial"/>
                <w:noProof/>
              </w:rPr>
              <w:t>Croatia: Zagreb Wastewater Treatment Plant</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_Toc404073800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23</w:t>
            </w:r>
            <w:r w:rsidR="002C6EC1" w:rsidRPr="0047046B">
              <w:rPr>
                <w:rFonts w:ascii="Arial" w:hAnsi="Arial" w:cs="Arial"/>
                <w:noProof/>
                <w:webHidden/>
              </w:rPr>
              <w:fldChar w:fldCharType="end"/>
            </w:r>
          </w:hyperlink>
        </w:p>
        <w:p w:rsidR="00FF45C7" w:rsidRPr="0047046B" w:rsidRDefault="00FC1A09">
          <w:pPr>
            <w:pStyle w:val="TOC1"/>
            <w:tabs>
              <w:tab w:val="right" w:leader="dot" w:pos="9350"/>
            </w:tabs>
            <w:rPr>
              <w:rFonts w:ascii="Arial" w:eastAsiaTheme="minorEastAsia" w:hAnsi="Arial" w:cs="Arial"/>
              <w:noProof/>
            </w:rPr>
          </w:pPr>
          <w:hyperlink w:anchor="_Toc404073801" w:history="1">
            <w:r w:rsidR="00FF45C7" w:rsidRPr="0047046B">
              <w:rPr>
                <w:rStyle w:val="Hyperlink"/>
                <w:rFonts w:ascii="Arial" w:hAnsi="Arial" w:cs="Arial"/>
                <w:noProof/>
              </w:rPr>
              <w:t>Summary of Key Success Factors</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_Toc404073801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26</w:t>
            </w:r>
            <w:r w:rsidR="002C6EC1" w:rsidRPr="0047046B">
              <w:rPr>
                <w:rFonts w:ascii="Arial" w:hAnsi="Arial" w:cs="Arial"/>
                <w:noProof/>
                <w:webHidden/>
              </w:rPr>
              <w:fldChar w:fldCharType="end"/>
            </w:r>
          </w:hyperlink>
        </w:p>
        <w:p w:rsidR="00FF45C7" w:rsidRPr="0047046B" w:rsidRDefault="00FC1A09">
          <w:pPr>
            <w:pStyle w:val="TOC1"/>
            <w:tabs>
              <w:tab w:val="right" w:leader="dot" w:pos="9350"/>
            </w:tabs>
            <w:rPr>
              <w:rFonts w:ascii="Arial" w:eastAsiaTheme="minorEastAsia" w:hAnsi="Arial" w:cs="Arial"/>
              <w:noProof/>
            </w:rPr>
          </w:pPr>
          <w:hyperlink w:anchor="_Toc404073802" w:history="1">
            <w:r w:rsidR="00FF45C7" w:rsidRPr="0047046B">
              <w:rPr>
                <w:rStyle w:val="Hyperlink"/>
                <w:rFonts w:ascii="Arial" w:hAnsi="Arial" w:cs="Arial"/>
                <w:noProof/>
              </w:rPr>
              <w:t>Recommendations Looking Forward</w:t>
            </w:r>
            <w:r w:rsidR="00FF45C7" w:rsidRPr="0047046B">
              <w:rPr>
                <w:rFonts w:ascii="Arial" w:hAnsi="Arial" w:cs="Arial"/>
                <w:noProof/>
                <w:webHidden/>
              </w:rPr>
              <w:tab/>
            </w:r>
            <w:r w:rsidR="002C6EC1" w:rsidRPr="0047046B">
              <w:rPr>
                <w:rFonts w:ascii="Arial" w:hAnsi="Arial" w:cs="Arial"/>
                <w:noProof/>
                <w:webHidden/>
              </w:rPr>
              <w:fldChar w:fldCharType="begin"/>
            </w:r>
            <w:r w:rsidR="00FF45C7" w:rsidRPr="0047046B">
              <w:rPr>
                <w:rFonts w:ascii="Arial" w:hAnsi="Arial" w:cs="Arial"/>
                <w:noProof/>
                <w:webHidden/>
              </w:rPr>
              <w:instrText xml:space="preserve"> PAGEREF _Toc404073802 \h </w:instrText>
            </w:r>
            <w:r w:rsidR="002C6EC1" w:rsidRPr="0047046B">
              <w:rPr>
                <w:rFonts w:ascii="Arial" w:hAnsi="Arial" w:cs="Arial"/>
                <w:noProof/>
                <w:webHidden/>
              </w:rPr>
            </w:r>
            <w:r w:rsidR="002C6EC1" w:rsidRPr="0047046B">
              <w:rPr>
                <w:rFonts w:ascii="Arial" w:hAnsi="Arial" w:cs="Arial"/>
                <w:noProof/>
                <w:webHidden/>
              </w:rPr>
              <w:fldChar w:fldCharType="separate"/>
            </w:r>
            <w:r w:rsidR="00CC3407">
              <w:rPr>
                <w:rFonts w:ascii="Arial" w:hAnsi="Arial" w:cs="Arial"/>
                <w:noProof/>
                <w:webHidden/>
              </w:rPr>
              <w:t>26</w:t>
            </w:r>
            <w:r w:rsidR="002C6EC1" w:rsidRPr="0047046B">
              <w:rPr>
                <w:rFonts w:ascii="Arial" w:hAnsi="Arial" w:cs="Arial"/>
                <w:noProof/>
                <w:webHidden/>
              </w:rPr>
              <w:fldChar w:fldCharType="end"/>
            </w:r>
          </w:hyperlink>
        </w:p>
        <w:p w:rsidR="005520FF" w:rsidRPr="000A0BFB" w:rsidRDefault="002C6EC1" w:rsidP="000A4007">
          <w:pPr>
            <w:pStyle w:val="TOC1"/>
            <w:tabs>
              <w:tab w:val="right" w:leader="dot" w:pos="9350"/>
            </w:tabs>
            <w:rPr>
              <w:rFonts w:ascii="Arial" w:eastAsiaTheme="minorEastAsia" w:hAnsi="Arial" w:cs="Arial"/>
              <w:noProof/>
            </w:rPr>
          </w:pPr>
          <w:r w:rsidRPr="0047046B">
            <w:rPr>
              <w:rFonts w:ascii="Arial" w:hAnsi="Arial" w:cs="Arial"/>
              <w:b/>
              <w:bCs/>
              <w:noProof/>
            </w:rPr>
            <w:fldChar w:fldCharType="end"/>
          </w:r>
        </w:p>
      </w:sdtContent>
    </w:sdt>
    <w:p w:rsidR="005520FF" w:rsidRPr="000A0BFB" w:rsidRDefault="005520FF">
      <w:pPr>
        <w:rPr>
          <w:rFonts w:ascii="Arial" w:eastAsiaTheme="majorEastAsia" w:hAnsi="Arial" w:cs="Arial"/>
          <w:b/>
          <w:bCs/>
          <w:color w:val="002060"/>
          <w:sz w:val="24"/>
        </w:rPr>
      </w:pPr>
      <w:r w:rsidRPr="000A0BFB">
        <w:rPr>
          <w:rFonts w:ascii="Arial" w:hAnsi="Arial" w:cs="Arial"/>
          <w:color w:val="002060"/>
          <w:sz w:val="24"/>
        </w:rPr>
        <w:br w:type="page"/>
      </w:r>
    </w:p>
    <w:p w:rsidR="00925AB6" w:rsidRPr="000A0BFB" w:rsidRDefault="00F36054" w:rsidP="00F8479D">
      <w:pPr>
        <w:pStyle w:val="Heading1"/>
        <w:rPr>
          <w:rFonts w:ascii="Arial" w:hAnsi="Arial" w:cs="Arial"/>
          <w:color w:val="002060"/>
          <w:sz w:val="24"/>
          <w:szCs w:val="22"/>
        </w:rPr>
      </w:pPr>
      <w:bookmarkStart w:id="3" w:name="_Toc404073786"/>
      <w:r w:rsidRPr="000A0BFB">
        <w:rPr>
          <w:rFonts w:ascii="Arial" w:hAnsi="Arial" w:cs="Arial"/>
          <w:color w:val="002060"/>
          <w:sz w:val="24"/>
          <w:szCs w:val="22"/>
        </w:rPr>
        <w:lastRenderedPageBreak/>
        <w:t>Introduction</w:t>
      </w:r>
      <w:bookmarkEnd w:id="3"/>
    </w:p>
    <w:p w:rsidR="00DB0A27" w:rsidRPr="000A0BFB" w:rsidRDefault="00DB0A27" w:rsidP="00DB0A27">
      <w:pPr>
        <w:rPr>
          <w:rFonts w:ascii="Arial" w:hAnsi="Arial" w:cs="Arial"/>
        </w:rPr>
      </w:pPr>
    </w:p>
    <w:p w:rsidR="00CC00AC" w:rsidRPr="000A0BFB" w:rsidRDefault="000F6B73" w:rsidP="00F2332A">
      <w:pPr>
        <w:jc w:val="both"/>
        <w:rPr>
          <w:rFonts w:ascii="Arial" w:hAnsi="Arial" w:cs="Arial"/>
        </w:rPr>
      </w:pPr>
      <w:r w:rsidRPr="000A0BFB">
        <w:rPr>
          <w:rFonts w:ascii="Arial" w:hAnsi="Arial" w:cs="Arial"/>
        </w:rPr>
        <w:t xml:space="preserve">Traditionally, </w:t>
      </w:r>
      <w:r w:rsidR="00F20C78" w:rsidRPr="000A0BFB">
        <w:rPr>
          <w:rFonts w:ascii="Arial" w:hAnsi="Arial" w:cs="Arial"/>
        </w:rPr>
        <w:t>government</w:t>
      </w:r>
      <w:r w:rsidR="00453272" w:rsidRPr="000A0BFB">
        <w:rPr>
          <w:rFonts w:ascii="Arial" w:hAnsi="Arial" w:cs="Arial"/>
        </w:rPr>
        <w:t xml:space="preserve">al entities </w:t>
      </w:r>
      <w:r w:rsidRPr="000A0BFB">
        <w:rPr>
          <w:rFonts w:ascii="Arial" w:hAnsi="Arial" w:cs="Arial"/>
        </w:rPr>
        <w:t>have been responsible for providing wastewater and sludge treatment services</w:t>
      </w:r>
      <w:r w:rsidR="00F20C78" w:rsidRPr="000A0BFB">
        <w:rPr>
          <w:rFonts w:ascii="Arial" w:hAnsi="Arial" w:cs="Arial"/>
        </w:rPr>
        <w:t xml:space="preserve"> through public enterprises</w:t>
      </w:r>
      <w:r w:rsidRPr="000A0BFB">
        <w:rPr>
          <w:rFonts w:ascii="Arial" w:hAnsi="Arial" w:cs="Arial"/>
        </w:rPr>
        <w:t xml:space="preserve">. </w:t>
      </w:r>
      <w:r w:rsidR="004527E0" w:rsidRPr="000A0BFB">
        <w:rPr>
          <w:rFonts w:ascii="Arial" w:hAnsi="Arial" w:cs="Arial"/>
        </w:rPr>
        <w:t xml:space="preserve">Poor service delivery, operational inefficiencies </w:t>
      </w:r>
      <w:r w:rsidRPr="000A0BFB">
        <w:rPr>
          <w:rFonts w:ascii="Arial" w:hAnsi="Arial" w:cs="Arial"/>
        </w:rPr>
        <w:t xml:space="preserve">and sluggish expansion </w:t>
      </w:r>
      <w:r w:rsidR="00A22B20" w:rsidRPr="000A0BFB">
        <w:rPr>
          <w:rFonts w:ascii="Arial" w:hAnsi="Arial" w:cs="Arial"/>
        </w:rPr>
        <w:t>plans</w:t>
      </w:r>
      <w:r w:rsidR="004527E0" w:rsidRPr="000A0BFB">
        <w:rPr>
          <w:rFonts w:ascii="Arial" w:hAnsi="Arial" w:cs="Arial"/>
        </w:rPr>
        <w:t xml:space="preserve"> characterize many of these entities, partially because they are dependent on annual allocations from cash strapped governments to fund their operations</w:t>
      </w:r>
      <w:r w:rsidR="00F20C78" w:rsidRPr="000A0BFB">
        <w:rPr>
          <w:rFonts w:ascii="Arial" w:hAnsi="Arial" w:cs="Arial"/>
        </w:rPr>
        <w:t>.</w:t>
      </w:r>
      <w:r w:rsidR="0058392B">
        <w:rPr>
          <w:rFonts w:ascii="Arial" w:hAnsi="Arial" w:cs="Arial"/>
        </w:rPr>
        <w:t xml:space="preserve"> </w:t>
      </w:r>
      <w:r w:rsidR="00453272" w:rsidRPr="000A0BFB">
        <w:rPr>
          <w:rFonts w:ascii="Arial" w:hAnsi="Arial" w:cs="Arial"/>
        </w:rPr>
        <w:t xml:space="preserve">Challenges with users’ willingness to pay, </w:t>
      </w:r>
      <w:r w:rsidR="006A4B4B" w:rsidRPr="000A0BFB">
        <w:rPr>
          <w:rFonts w:ascii="Arial" w:hAnsi="Arial" w:cs="Arial"/>
        </w:rPr>
        <w:t xml:space="preserve">frequently </w:t>
      </w:r>
      <w:r w:rsidR="00453272" w:rsidRPr="000A0BFB">
        <w:rPr>
          <w:rFonts w:ascii="Arial" w:hAnsi="Arial" w:cs="Arial"/>
        </w:rPr>
        <w:t xml:space="preserve">accompanied by an inability to raise tariffs to meet </w:t>
      </w:r>
      <w:r w:rsidR="009355F5">
        <w:rPr>
          <w:rFonts w:ascii="Arial" w:hAnsi="Arial" w:cs="Arial"/>
        </w:rPr>
        <w:t xml:space="preserve">the </w:t>
      </w:r>
      <w:r w:rsidR="00453272" w:rsidRPr="000A0BFB">
        <w:rPr>
          <w:rFonts w:ascii="Arial" w:hAnsi="Arial" w:cs="Arial"/>
        </w:rPr>
        <w:t>full cost of service</w:t>
      </w:r>
      <w:r w:rsidR="009355F5">
        <w:rPr>
          <w:rFonts w:ascii="Arial" w:hAnsi="Arial" w:cs="Arial"/>
        </w:rPr>
        <w:t>,</w:t>
      </w:r>
      <w:r w:rsidR="00453272" w:rsidRPr="000A0BFB">
        <w:rPr>
          <w:rFonts w:ascii="Arial" w:hAnsi="Arial" w:cs="Arial"/>
        </w:rPr>
        <w:t xml:space="preserve"> result in negative </w:t>
      </w:r>
      <w:r w:rsidR="004527E0" w:rsidRPr="000A0BFB">
        <w:rPr>
          <w:rFonts w:ascii="Arial" w:hAnsi="Arial" w:cs="Arial"/>
        </w:rPr>
        <w:t>cash flows</w:t>
      </w:r>
      <w:r w:rsidR="009355F5">
        <w:rPr>
          <w:rFonts w:ascii="Arial" w:hAnsi="Arial" w:cs="Arial"/>
        </w:rPr>
        <w:t>,</w:t>
      </w:r>
      <w:r w:rsidR="0058392B">
        <w:rPr>
          <w:rFonts w:ascii="Arial" w:hAnsi="Arial" w:cs="Arial"/>
        </w:rPr>
        <w:t xml:space="preserve"> </w:t>
      </w:r>
      <w:r w:rsidR="004D6167" w:rsidRPr="000A0BFB">
        <w:rPr>
          <w:rFonts w:ascii="Arial" w:hAnsi="Arial" w:cs="Arial"/>
        </w:rPr>
        <w:t xml:space="preserve">which </w:t>
      </w:r>
      <w:r w:rsidR="00BF0577" w:rsidRPr="000A0BFB">
        <w:rPr>
          <w:rFonts w:ascii="Arial" w:hAnsi="Arial" w:cs="Arial"/>
        </w:rPr>
        <w:t xml:space="preserve">restrict </w:t>
      </w:r>
      <w:r w:rsidR="004D6167" w:rsidRPr="000A0BFB">
        <w:rPr>
          <w:rFonts w:ascii="Arial" w:hAnsi="Arial" w:cs="Arial"/>
        </w:rPr>
        <w:t xml:space="preserve">the entities’ </w:t>
      </w:r>
      <w:r w:rsidR="00F20C78" w:rsidRPr="000A0BFB">
        <w:rPr>
          <w:rFonts w:ascii="Arial" w:hAnsi="Arial" w:cs="Arial"/>
        </w:rPr>
        <w:t xml:space="preserve">access </w:t>
      </w:r>
      <w:r w:rsidR="00BF0577" w:rsidRPr="000A0BFB">
        <w:rPr>
          <w:rFonts w:ascii="Arial" w:hAnsi="Arial" w:cs="Arial"/>
        </w:rPr>
        <w:t xml:space="preserve">to </w:t>
      </w:r>
      <w:r w:rsidR="00F20C78" w:rsidRPr="000A0BFB">
        <w:rPr>
          <w:rFonts w:ascii="Arial" w:hAnsi="Arial" w:cs="Arial"/>
        </w:rPr>
        <w:t xml:space="preserve">external </w:t>
      </w:r>
      <w:r w:rsidR="004D6167" w:rsidRPr="000A0BFB">
        <w:rPr>
          <w:rFonts w:ascii="Arial" w:hAnsi="Arial" w:cs="Arial"/>
        </w:rPr>
        <w:t xml:space="preserve">capital, </w:t>
      </w:r>
      <w:r w:rsidR="00BF0577" w:rsidRPr="000A0BFB">
        <w:rPr>
          <w:rFonts w:ascii="Arial" w:hAnsi="Arial" w:cs="Arial"/>
        </w:rPr>
        <w:t>exacerbat</w:t>
      </w:r>
      <w:r w:rsidR="004D6167" w:rsidRPr="000A0BFB">
        <w:rPr>
          <w:rFonts w:ascii="Arial" w:hAnsi="Arial" w:cs="Arial"/>
        </w:rPr>
        <w:t>ing</w:t>
      </w:r>
      <w:r w:rsidR="00BF0577" w:rsidRPr="000A0BFB">
        <w:rPr>
          <w:rFonts w:ascii="Arial" w:hAnsi="Arial" w:cs="Arial"/>
        </w:rPr>
        <w:t xml:space="preserve"> existing </w:t>
      </w:r>
      <w:r w:rsidR="00F20C78" w:rsidRPr="000A0BFB">
        <w:rPr>
          <w:rFonts w:ascii="Arial" w:hAnsi="Arial" w:cs="Arial"/>
        </w:rPr>
        <w:t xml:space="preserve">service gaps. </w:t>
      </w:r>
      <w:r w:rsidR="003F05EE" w:rsidRPr="000A0BFB">
        <w:rPr>
          <w:rFonts w:ascii="Arial" w:hAnsi="Arial" w:cs="Arial"/>
        </w:rPr>
        <w:t>Although c</w:t>
      </w:r>
      <w:r w:rsidR="00A22B20" w:rsidRPr="000A0BFB">
        <w:rPr>
          <w:rFonts w:ascii="Arial" w:hAnsi="Arial" w:cs="Arial"/>
        </w:rPr>
        <w:t xml:space="preserve">ognizant of the need to improve, </w:t>
      </w:r>
      <w:r w:rsidR="003F05EE" w:rsidRPr="000A0BFB">
        <w:rPr>
          <w:rFonts w:ascii="Arial" w:hAnsi="Arial" w:cs="Arial"/>
        </w:rPr>
        <w:t xml:space="preserve">many </w:t>
      </w:r>
      <w:r w:rsidR="00F20C78" w:rsidRPr="000A0BFB">
        <w:rPr>
          <w:rFonts w:ascii="Arial" w:hAnsi="Arial" w:cs="Arial"/>
        </w:rPr>
        <w:t>governments of low and middle-income countries</w:t>
      </w:r>
      <w:r w:rsidRPr="000A0BFB">
        <w:rPr>
          <w:rFonts w:ascii="Arial" w:hAnsi="Arial" w:cs="Arial"/>
        </w:rPr>
        <w:t xml:space="preserve"> lack the financial resources required to rehabilitate and maintain </w:t>
      </w:r>
      <w:r w:rsidR="003F05EE" w:rsidRPr="000A0BFB">
        <w:rPr>
          <w:rFonts w:ascii="Arial" w:hAnsi="Arial" w:cs="Arial"/>
        </w:rPr>
        <w:t>existing networks, let alone invest in capacity expansion</w:t>
      </w:r>
      <w:r w:rsidR="00934148" w:rsidRPr="000A0BFB">
        <w:rPr>
          <w:rFonts w:ascii="Arial" w:hAnsi="Arial" w:cs="Arial"/>
        </w:rPr>
        <w:t xml:space="preserve">. </w:t>
      </w:r>
      <w:r w:rsidR="00747693" w:rsidRPr="000A0BFB">
        <w:rPr>
          <w:rFonts w:ascii="Arial" w:hAnsi="Arial" w:cs="Arial"/>
        </w:rPr>
        <w:t xml:space="preserve">In some cases they </w:t>
      </w:r>
      <w:r w:rsidR="00934148" w:rsidRPr="000A0BFB">
        <w:rPr>
          <w:rFonts w:ascii="Arial" w:hAnsi="Arial" w:cs="Arial"/>
        </w:rPr>
        <w:t>do not have the technical expertise</w:t>
      </w:r>
      <w:r w:rsidR="00CD6D05" w:rsidRPr="000A0BFB">
        <w:rPr>
          <w:rFonts w:ascii="Arial" w:hAnsi="Arial" w:cs="Arial"/>
        </w:rPr>
        <w:t xml:space="preserve"> required to oversee the enterprise’s evolution into a higher performing </w:t>
      </w:r>
      <w:r w:rsidR="00942FD7" w:rsidRPr="000A0BFB">
        <w:rPr>
          <w:rFonts w:ascii="Arial" w:hAnsi="Arial" w:cs="Arial"/>
        </w:rPr>
        <w:t>wastewater and sludge treatment utility</w:t>
      </w:r>
      <w:r w:rsidR="003F05EE" w:rsidRPr="000A0BFB">
        <w:rPr>
          <w:rFonts w:ascii="Arial" w:hAnsi="Arial" w:cs="Arial"/>
        </w:rPr>
        <w:t>.</w:t>
      </w:r>
    </w:p>
    <w:p w:rsidR="00F3734D" w:rsidRDefault="00934148" w:rsidP="00F2332A">
      <w:pPr>
        <w:jc w:val="both"/>
        <w:rPr>
          <w:rFonts w:ascii="Arial" w:hAnsi="Arial" w:cs="Arial"/>
        </w:rPr>
      </w:pPr>
      <w:r w:rsidRPr="000A0BFB">
        <w:rPr>
          <w:rFonts w:ascii="Arial" w:hAnsi="Arial" w:cs="Arial"/>
        </w:rPr>
        <w:t xml:space="preserve">Other infrastructure sectors </w:t>
      </w:r>
      <w:r w:rsidR="00CC00AC" w:rsidRPr="000A0BFB">
        <w:rPr>
          <w:rFonts w:ascii="Arial" w:hAnsi="Arial" w:cs="Arial"/>
        </w:rPr>
        <w:t>(such as power</w:t>
      </w:r>
      <w:r w:rsidR="00A65A09" w:rsidRPr="000A0BFB">
        <w:rPr>
          <w:rFonts w:ascii="Arial" w:hAnsi="Arial" w:cs="Arial"/>
        </w:rPr>
        <w:t xml:space="preserve">, </w:t>
      </w:r>
      <w:r w:rsidR="00D831DB" w:rsidRPr="000A0BFB">
        <w:rPr>
          <w:rFonts w:ascii="Arial" w:hAnsi="Arial" w:cs="Arial"/>
        </w:rPr>
        <w:t>transportation</w:t>
      </w:r>
      <w:r w:rsidR="00A65A09" w:rsidRPr="000A0BFB">
        <w:rPr>
          <w:rFonts w:ascii="Arial" w:hAnsi="Arial" w:cs="Arial"/>
        </w:rPr>
        <w:t xml:space="preserve"> and telecoms</w:t>
      </w:r>
      <w:r w:rsidR="00CC00AC" w:rsidRPr="000A0BFB">
        <w:rPr>
          <w:rFonts w:ascii="Arial" w:hAnsi="Arial" w:cs="Arial"/>
        </w:rPr>
        <w:t xml:space="preserve">) </w:t>
      </w:r>
      <w:r w:rsidRPr="000A0BFB">
        <w:rPr>
          <w:rFonts w:ascii="Arial" w:hAnsi="Arial" w:cs="Arial"/>
        </w:rPr>
        <w:t xml:space="preserve">have addressed </w:t>
      </w:r>
      <w:r w:rsidR="00371AF0" w:rsidRPr="000A0BFB">
        <w:rPr>
          <w:rFonts w:ascii="Arial" w:hAnsi="Arial" w:cs="Arial"/>
        </w:rPr>
        <w:t xml:space="preserve">many of </w:t>
      </w:r>
      <w:r w:rsidR="00CC00AC" w:rsidRPr="000A0BFB">
        <w:rPr>
          <w:rFonts w:ascii="Arial" w:hAnsi="Arial" w:cs="Arial"/>
        </w:rPr>
        <w:t>these challenges</w:t>
      </w:r>
      <w:r w:rsidR="0058392B">
        <w:rPr>
          <w:rFonts w:ascii="Arial" w:hAnsi="Arial" w:cs="Arial"/>
        </w:rPr>
        <w:t xml:space="preserve"> </w:t>
      </w:r>
      <w:r w:rsidR="005A679C" w:rsidRPr="000A0BFB">
        <w:rPr>
          <w:rFonts w:ascii="Arial" w:hAnsi="Arial" w:cs="Arial"/>
        </w:rPr>
        <w:t xml:space="preserve">by </w:t>
      </w:r>
      <w:r w:rsidR="00F20C78" w:rsidRPr="000A0BFB">
        <w:rPr>
          <w:rFonts w:ascii="Arial" w:hAnsi="Arial" w:cs="Arial"/>
        </w:rPr>
        <w:t>engaging</w:t>
      </w:r>
      <w:r w:rsidR="005A679C" w:rsidRPr="000A0BFB">
        <w:rPr>
          <w:rFonts w:ascii="Arial" w:hAnsi="Arial" w:cs="Arial"/>
        </w:rPr>
        <w:t xml:space="preserve"> the </w:t>
      </w:r>
      <w:r w:rsidR="009921CD" w:rsidRPr="000A0BFB">
        <w:rPr>
          <w:rFonts w:ascii="Arial" w:hAnsi="Arial" w:cs="Arial"/>
        </w:rPr>
        <w:t>private sector</w:t>
      </w:r>
      <w:r w:rsidR="005A679C" w:rsidRPr="000A0BFB">
        <w:rPr>
          <w:rFonts w:ascii="Arial" w:hAnsi="Arial" w:cs="Arial"/>
        </w:rPr>
        <w:t xml:space="preserve">, which can </w:t>
      </w:r>
      <w:r w:rsidR="00371AF0" w:rsidRPr="000A0BFB">
        <w:rPr>
          <w:rFonts w:ascii="Arial" w:hAnsi="Arial" w:cs="Arial"/>
        </w:rPr>
        <w:t xml:space="preserve">infuse </w:t>
      </w:r>
      <w:r w:rsidR="000F6B73" w:rsidRPr="000A0BFB">
        <w:rPr>
          <w:rFonts w:ascii="Arial" w:hAnsi="Arial" w:cs="Arial"/>
        </w:rPr>
        <w:t>capital</w:t>
      </w:r>
      <w:r w:rsidR="00EB6046" w:rsidRPr="000A0BFB">
        <w:rPr>
          <w:rFonts w:ascii="Arial" w:hAnsi="Arial" w:cs="Arial"/>
        </w:rPr>
        <w:t xml:space="preserve">, </w:t>
      </w:r>
      <w:r w:rsidR="003F05EE" w:rsidRPr="000A0BFB">
        <w:rPr>
          <w:rFonts w:ascii="Arial" w:hAnsi="Arial" w:cs="Arial"/>
        </w:rPr>
        <w:t>expertise</w:t>
      </w:r>
      <w:r w:rsidR="00EB6046" w:rsidRPr="000A0BFB">
        <w:rPr>
          <w:rFonts w:ascii="Arial" w:hAnsi="Arial" w:cs="Arial"/>
        </w:rPr>
        <w:t xml:space="preserve"> and </w:t>
      </w:r>
      <w:r w:rsidR="00B47CAE" w:rsidRPr="000A0BFB">
        <w:rPr>
          <w:rFonts w:ascii="Arial" w:hAnsi="Arial" w:cs="Arial"/>
        </w:rPr>
        <w:t xml:space="preserve">operational </w:t>
      </w:r>
      <w:r w:rsidR="00EB6046" w:rsidRPr="000A0BFB">
        <w:rPr>
          <w:rFonts w:ascii="Arial" w:hAnsi="Arial" w:cs="Arial"/>
        </w:rPr>
        <w:t>discipline</w:t>
      </w:r>
      <w:r w:rsidR="000F6B73" w:rsidRPr="000A0BFB">
        <w:rPr>
          <w:rFonts w:ascii="Arial" w:hAnsi="Arial" w:cs="Arial"/>
        </w:rPr>
        <w:t xml:space="preserve">.  </w:t>
      </w:r>
      <w:r w:rsidR="009921CD" w:rsidRPr="000A0BFB">
        <w:rPr>
          <w:rFonts w:ascii="Arial" w:hAnsi="Arial" w:cs="Arial"/>
        </w:rPr>
        <w:t xml:space="preserve">Evidence indicates </w:t>
      </w:r>
      <w:r w:rsidR="00F20C78" w:rsidRPr="000A0BFB">
        <w:rPr>
          <w:rFonts w:ascii="Arial" w:hAnsi="Arial" w:cs="Arial"/>
        </w:rPr>
        <w:t xml:space="preserve">that such </w:t>
      </w:r>
      <w:r w:rsidR="00657093" w:rsidRPr="000A0BFB">
        <w:rPr>
          <w:rFonts w:ascii="Arial" w:hAnsi="Arial" w:cs="Arial"/>
        </w:rPr>
        <w:t>public-private p</w:t>
      </w:r>
      <w:r w:rsidR="00ED0979" w:rsidRPr="000A0BFB">
        <w:rPr>
          <w:rFonts w:ascii="Arial" w:hAnsi="Arial" w:cs="Arial"/>
        </w:rPr>
        <w:t>artnership</w:t>
      </w:r>
      <w:r w:rsidR="002F4A2C" w:rsidRPr="000A0BFB">
        <w:rPr>
          <w:rFonts w:ascii="Arial" w:hAnsi="Arial" w:cs="Arial"/>
        </w:rPr>
        <w:t>s</w:t>
      </w:r>
      <w:r w:rsidR="00ED0979" w:rsidRPr="000A0BFB">
        <w:rPr>
          <w:rFonts w:ascii="Arial" w:hAnsi="Arial" w:cs="Arial"/>
        </w:rPr>
        <w:t xml:space="preserve"> (PPP</w:t>
      </w:r>
      <w:r w:rsidR="006A4B4B" w:rsidRPr="000A0BFB">
        <w:rPr>
          <w:rFonts w:ascii="Arial" w:hAnsi="Arial" w:cs="Arial"/>
        </w:rPr>
        <w:t>s</w:t>
      </w:r>
      <w:r w:rsidR="00ED0979" w:rsidRPr="000A0BFB">
        <w:rPr>
          <w:rFonts w:ascii="Arial" w:hAnsi="Arial" w:cs="Arial"/>
        </w:rPr>
        <w:t>)</w:t>
      </w:r>
      <w:r w:rsidR="004D6167" w:rsidRPr="000A0BFB">
        <w:rPr>
          <w:rFonts w:ascii="Arial" w:hAnsi="Arial" w:cs="Arial"/>
        </w:rPr>
        <w:t xml:space="preserve">, if structured well, </w:t>
      </w:r>
      <w:r w:rsidR="009921CD" w:rsidRPr="000A0BFB">
        <w:rPr>
          <w:rFonts w:ascii="Arial" w:hAnsi="Arial" w:cs="Arial"/>
        </w:rPr>
        <w:t>can</w:t>
      </w:r>
      <w:r w:rsidR="0058392B">
        <w:rPr>
          <w:rFonts w:ascii="Arial" w:hAnsi="Arial" w:cs="Arial"/>
        </w:rPr>
        <w:t xml:space="preserve"> </w:t>
      </w:r>
      <w:r w:rsidR="00CD6D05" w:rsidRPr="000A0BFB">
        <w:rPr>
          <w:rFonts w:ascii="Arial" w:hAnsi="Arial" w:cs="Arial"/>
        </w:rPr>
        <w:t xml:space="preserve">produce </w:t>
      </w:r>
      <w:r w:rsidR="00F20C78" w:rsidRPr="000A0BFB">
        <w:rPr>
          <w:rFonts w:ascii="Arial" w:hAnsi="Arial" w:cs="Arial"/>
        </w:rPr>
        <w:t>significant</w:t>
      </w:r>
      <w:r w:rsidR="00CD6D05" w:rsidRPr="000A0BFB">
        <w:rPr>
          <w:rFonts w:ascii="Arial" w:hAnsi="Arial" w:cs="Arial"/>
        </w:rPr>
        <w:t xml:space="preserve"> results</w:t>
      </w:r>
      <w:r w:rsidR="006D5635" w:rsidRPr="000A0BFB">
        <w:rPr>
          <w:rFonts w:ascii="Arial" w:hAnsi="Arial" w:cs="Arial"/>
        </w:rPr>
        <w:t xml:space="preserve"> including improved </w:t>
      </w:r>
      <w:r w:rsidR="00F20C78" w:rsidRPr="000A0BFB">
        <w:rPr>
          <w:rFonts w:ascii="Arial" w:hAnsi="Arial" w:cs="Arial"/>
        </w:rPr>
        <w:t xml:space="preserve">service </w:t>
      </w:r>
      <w:r w:rsidR="00EB6046" w:rsidRPr="000A0BFB">
        <w:rPr>
          <w:rFonts w:ascii="Arial" w:hAnsi="Arial" w:cs="Arial"/>
        </w:rPr>
        <w:t>quality</w:t>
      </w:r>
      <w:r w:rsidR="00F20C78" w:rsidRPr="000A0BFB">
        <w:rPr>
          <w:rFonts w:ascii="Arial" w:hAnsi="Arial" w:cs="Arial"/>
        </w:rPr>
        <w:t xml:space="preserve">, </w:t>
      </w:r>
      <w:r w:rsidR="006D5635" w:rsidRPr="000A0BFB">
        <w:rPr>
          <w:rFonts w:ascii="Arial" w:hAnsi="Arial" w:cs="Arial"/>
        </w:rPr>
        <w:t xml:space="preserve">increased </w:t>
      </w:r>
      <w:r w:rsidR="00F20C78" w:rsidRPr="000A0BFB">
        <w:rPr>
          <w:rFonts w:ascii="Arial" w:hAnsi="Arial" w:cs="Arial"/>
        </w:rPr>
        <w:t xml:space="preserve">user access, and, in some cases, even a decrease in </w:t>
      </w:r>
      <w:r w:rsidR="009E3964">
        <w:rPr>
          <w:rFonts w:ascii="Arial" w:hAnsi="Arial" w:cs="Arial"/>
        </w:rPr>
        <w:t>c</w:t>
      </w:r>
      <w:r w:rsidR="00F20C78" w:rsidRPr="000A0BFB">
        <w:rPr>
          <w:rFonts w:ascii="Arial" w:hAnsi="Arial" w:cs="Arial"/>
        </w:rPr>
        <w:t>us</w:t>
      </w:r>
      <w:r w:rsidR="009E3964">
        <w:rPr>
          <w:rFonts w:ascii="Arial" w:hAnsi="Arial" w:cs="Arial"/>
        </w:rPr>
        <w:t>tom</w:t>
      </w:r>
      <w:r w:rsidR="00F20C78" w:rsidRPr="000A0BFB">
        <w:rPr>
          <w:rFonts w:ascii="Arial" w:hAnsi="Arial" w:cs="Arial"/>
        </w:rPr>
        <w:t>er tariffs</w:t>
      </w:r>
      <w:r w:rsidR="00EB6046" w:rsidRPr="000A0BFB">
        <w:rPr>
          <w:rFonts w:ascii="Arial" w:hAnsi="Arial" w:cs="Arial"/>
        </w:rPr>
        <w:t xml:space="preserve"> over time. </w:t>
      </w:r>
      <w:r w:rsidR="00F20C78" w:rsidRPr="000A0BFB">
        <w:rPr>
          <w:rFonts w:ascii="Arial" w:hAnsi="Arial" w:cs="Arial"/>
        </w:rPr>
        <w:t xml:space="preserve">Although </w:t>
      </w:r>
      <w:r w:rsidR="00ED0979" w:rsidRPr="000A0BFB">
        <w:rPr>
          <w:rFonts w:ascii="Arial" w:hAnsi="Arial" w:cs="Arial"/>
        </w:rPr>
        <w:t xml:space="preserve">PPPs </w:t>
      </w:r>
      <w:r w:rsidR="00F20C78" w:rsidRPr="000A0BFB">
        <w:rPr>
          <w:rFonts w:ascii="Arial" w:hAnsi="Arial" w:cs="Arial"/>
        </w:rPr>
        <w:t xml:space="preserve">have been successfully </w:t>
      </w:r>
      <w:r w:rsidR="00D6473F" w:rsidRPr="000A0BFB">
        <w:rPr>
          <w:rFonts w:ascii="Arial" w:hAnsi="Arial" w:cs="Arial"/>
        </w:rPr>
        <w:t>normalized as a framework</w:t>
      </w:r>
      <w:r w:rsidR="00371AF0" w:rsidRPr="000A0BFB">
        <w:rPr>
          <w:rFonts w:ascii="Arial" w:hAnsi="Arial" w:cs="Arial"/>
        </w:rPr>
        <w:t xml:space="preserve"> for improved service delivery</w:t>
      </w:r>
      <w:r w:rsidR="00D6473F" w:rsidRPr="000A0BFB">
        <w:rPr>
          <w:rFonts w:ascii="Arial" w:hAnsi="Arial" w:cs="Arial"/>
        </w:rPr>
        <w:t xml:space="preserve"> within </w:t>
      </w:r>
      <w:r w:rsidR="006D5635" w:rsidRPr="000A0BFB">
        <w:rPr>
          <w:rFonts w:ascii="Arial" w:hAnsi="Arial" w:cs="Arial"/>
        </w:rPr>
        <w:t xml:space="preserve">other </w:t>
      </w:r>
      <w:r w:rsidR="00ED0979" w:rsidRPr="000A0BFB">
        <w:rPr>
          <w:rFonts w:ascii="Arial" w:hAnsi="Arial" w:cs="Arial"/>
        </w:rPr>
        <w:t xml:space="preserve">infrastructure sectors, </w:t>
      </w:r>
      <w:r w:rsidR="00D6473F" w:rsidRPr="000A0BFB">
        <w:rPr>
          <w:rFonts w:ascii="Arial" w:hAnsi="Arial" w:cs="Arial"/>
        </w:rPr>
        <w:t xml:space="preserve">fruitful partnerships with the private sector have been </w:t>
      </w:r>
      <w:r w:rsidR="00396F69" w:rsidRPr="000A0BFB">
        <w:rPr>
          <w:rFonts w:ascii="Arial" w:hAnsi="Arial" w:cs="Arial"/>
        </w:rPr>
        <w:t xml:space="preserve">more challenging </w:t>
      </w:r>
      <w:r w:rsidR="00D6473F" w:rsidRPr="000A0BFB">
        <w:rPr>
          <w:rFonts w:ascii="Arial" w:hAnsi="Arial" w:cs="Arial"/>
        </w:rPr>
        <w:t xml:space="preserve">to establish in the </w:t>
      </w:r>
      <w:r w:rsidR="00F2085E" w:rsidRPr="000A0BFB">
        <w:rPr>
          <w:rFonts w:ascii="Arial" w:hAnsi="Arial" w:cs="Arial"/>
        </w:rPr>
        <w:t>waste</w:t>
      </w:r>
      <w:r w:rsidR="00D6473F" w:rsidRPr="000A0BFB">
        <w:rPr>
          <w:rFonts w:ascii="Arial" w:hAnsi="Arial" w:cs="Arial"/>
        </w:rPr>
        <w:t xml:space="preserve">water </w:t>
      </w:r>
      <w:r w:rsidR="00E5319F" w:rsidRPr="000A0BFB">
        <w:rPr>
          <w:rFonts w:ascii="Arial" w:hAnsi="Arial" w:cs="Arial"/>
        </w:rPr>
        <w:t xml:space="preserve">and sewerage </w:t>
      </w:r>
      <w:r w:rsidR="00396F69" w:rsidRPr="000A0BFB">
        <w:rPr>
          <w:rFonts w:ascii="Arial" w:hAnsi="Arial" w:cs="Arial"/>
        </w:rPr>
        <w:t xml:space="preserve">sector. </w:t>
      </w:r>
    </w:p>
    <w:p w:rsidR="00F3734D" w:rsidRDefault="00A92A24" w:rsidP="00F3734D">
      <w:pPr>
        <w:rPr>
          <w:rFonts w:ascii="Arial" w:hAnsi="Arial" w:cs="Arial"/>
          <w:color w:val="231F20"/>
        </w:rPr>
      </w:pPr>
      <w:r>
        <w:rPr>
          <w:rFonts w:ascii="Arial" w:hAnsi="Arial" w:cs="Arial"/>
          <w:color w:val="231F20"/>
        </w:rPr>
        <w:t>This is partly because w</w:t>
      </w:r>
      <w:r w:rsidR="00F3734D">
        <w:rPr>
          <w:rFonts w:ascii="Arial" w:hAnsi="Arial" w:cs="Arial"/>
          <w:color w:val="231F20"/>
        </w:rPr>
        <w:t>ater services</w:t>
      </w:r>
      <w:r w:rsidR="001F0835">
        <w:rPr>
          <w:rFonts w:ascii="Arial" w:hAnsi="Arial" w:cs="Arial"/>
          <w:color w:val="231F20"/>
        </w:rPr>
        <w:t xml:space="preserve">, more so than other infrastructure sectors, </w:t>
      </w:r>
      <w:r w:rsidR="00F3734D">
        <w:rPr>
          <w:rFonts w:ascii="Arial" w:hAnsi="Arial" w:cs="Arial"/>
          <w:color w:val="231F20"/>
        </w:rPr>
        <w:t xml:space="preserve">are perceived as manifestly social in nature, meaning any effort to introduce commercial and fiscal discipline can evoke strong political emotions. Required to satisfy the most basic of human needs and to safeguard our health, access to water services is </w:t>
      </w:r>
      <w:r w:rsidR="00EC30DE">
        <w:rPr>
          <w:rFonts w:ascii="Arial" w:hAnsi="Arial" w:cs="Arial"/>
          <w:color w:val="231F20"/>
        </w:rPr>
        <w:t xml:space="preserve">often viewed as </w:t>
      </w:r>
      <w:r w:rsidR="00F3734D">
        <w:rPr>
          <w:rFonts w:ascii="Arial" w:hAnsi="Arial" w:cs="Arial"/>
          <w:color w:val="231F20"/>
        </w:rPr>
        <w:t xml:space="preserve">a basic human right that should not be beholden to </w:t>
      </w:r>
      <w:r w:rsidR="00F3734D" w:rsidRPr="00631806">
        <w:rPr>
          <w:rFonts w:ascii="Arial" w:hAnsi="Arial" w:cs="Arial"/>
          <w:color w:val="231F20"/>
        </w:rPr>
        <w:t>market principles</w:t>
      </w:r>
      <w:r w:rsidR="00F3734D">
        <w:rPr>
          <w:rFonts w:ascii="Arial" w:hAnsi="Arial" w:cs="Arial"/>
          <w:color w:val="231F20"/>
        </w:rPr>
        <w:t xml:space="preserve">. </w:t>
      </w:r>
      <w:r w:rsidR="00C41B1A">
        <w:rPr>
          <w:rFonts w:ascii="Arial" w:hAnsi="Arial" w:cs="Arial"/>
          <w:color w:val="231F20"/>
        </w:rPr>
        <w:t xml:space="preserve">The </w:t>
      </w:r>
      <w:r w:rsidR="00C41B1A" w:rsidRPr="00C41B1A">
        <w:rPr>
          <w:rFonts w:ascii="Arial" w:hAnsi="Arial" w:cs="Arial"/>
          <w:color w:val="231F20"/>
        </w:rPr>
        <w:t xml:space="preserve">political realities associated with bill collections and tariff </w:t>
      </w:r>
      <w:r w:rsidR="00C41B1A">
        <w:rPr>
          <w:rFonts w:ascii="Arial" w:hAnsi="Arial" w:cs="Arial"/>
          <w:color w:val="231F20"/>
        </w:rPr>
        <w:t xml:space="preserve">hikes therefore often </w:t>
      </w:r>
      <w:r w:rsidR="00C41B1A" w:rsidRPr="00C41B1A">
        <w:rPr>
          <w:rFonts w:ascii="Arial" w:hAnsi="Arial" w:cs="Arial"/>
          <w:color w:val="231F20"/>
        </w:rPr>
        <w:t>hamper the successful implementation of projects</w:t>
      </w:r>
      <w:r w:rsidR="00C41B1A">
        <w:rPr>
          <w:rFonts w:ascii="Arial" w:hAnsi="Arial" w:cs="Arial"/>
          <w:color w:val="231F20"/>
        </w:rPr>
        <w:t xml:space="preserve">. </w:t>
      </w:r>
    </w:p>
    <w:p w:rsidR="00110110" w:rsidRPr="000A0BFB" w:rsidRDefault="00F3734D" w:rsidP="00F2332A">
      <w:pPr>
        <w:jc w:val="both"/>
        <w:rPr>
          <w:rFonts w:ascii="Arial" w:hAnsi="Arial" w:cs="Arial"/>
        </w:rPr>
      </w:pPr>
      <w:r>
        <w:rPr>
          <w:rFonts w:ascii="Arial" w:hAnsi="Arial" w:cs="Arial"/>
        </w:rPr>
        <w:t>It is within this context that g</w:t>
      </w:r>
      <w:r w:rsidRPr="00DB0A27">
        <w:rPr>
          <w:rFonts w:ascii="Arial" w:hAnsi="Arial" w:cs="Arial"/>
        </w:rPr>
        <w:t xml:space="preserve">lobally, at least 84% of all </w:t>
      </w:r>
      <w:r>
        <w:rPr>
          <w:rFonts w:ascii="Arial" w:hAnsi="Arial" w:cs="Arial"/>
        </w:rPr>
        <w:t xml:space="preserve">water and sanitation </w:t>
      </w:r>
      <w:r w:rsidRPr="00DB0A27">
        <w:rPr>
          <w:rFonts w:ascii="Arial" w:hAnsi="Arial" w:cs="Arial"/>
        </w:rPr>
        <w:t>systems remain publicly owned and managed.</w:t>
      </w:r>
      <w:r w:rsidRPr="00DB0A27">
        <w:rPr>
          <w:rStyle w:val="FootnoteReference"/>
          <w:rFonts w:ascii="Arial" w:hAnsi="Arial" w:cs="Arial"/>
        </w:rPr>
        <w:footnoteReference w:id="1"/>
      </w:r>
      <w:r w:rsidR="00BB1F77" w:rsidRPr="00BB1F77">
        <w:rPr>
          <w:rFonts w:ascii="Arial" w:hAnsi="Arial" w:cs="Arial"/>
        </w:rPr>
        <w:t>While the percentage of publicly owned and managed wastewater and sludge treatment systems is unknown, it is likely even higher given these prevalent challenges to implementing PPPs in the sub-sector</w:t>
      </w:r>
      <w:r w:rsidR="00BB1F77">
        <w:rPr>
          <w:rFonts w:ascii="Arial" w:hAnsi="Arial" w:cs="Arial"/>
        </w:rPr>
        <w:t>.</w:t>
      </w:r>
      <w:r w:rsidR="0058392B">
        <w:rPr>
          <w:rFonts w:ascii="Arial" w:hAnsi="Arial" w:cs="Arial"/>
        </w:rPr>
        <w:t xml:space="preserve"> </w:t>
      </w:r>
      <w:r w:rsidR="00C85662" w:rsidRPr="000A0BFB">
        <w:rPr>
          <w:rFonts w:ascii="Arial" w:hAnsi="Arial" w:cs="Arial"/>
        </w:rPr>
        <w:t>W</w:t>
      </w:r>
      <w:r w:rsidR="000F6B73" w:rsidRPr="000A0BFB">
        <w:rPr>
          <w:rFonts w:ascii="Arial" w:hAnsi="Arial" w:cs="Arial"/>
        </w:rPr>
        <w:t xml:space="preserve">hile the population served by privatized water utilities increased from </w:t>
      </w:r>
      <w:r w:rsidR="002114B8" w:rsidRPr="000A0BFB">
        <w:rPr>
          <w:rFonts w:ascii="Arial" w:hAnsi="Arial" w:cs="Arial"/>
        </w:rPr>
        <w:t xml:space="preserve">six </w:t>
      </w:r>
      <w:r w:rsidR="000F6B73" w:rsidRPr="000A0BFB">
        <w:rPr>
          <w:rFonts w:ascii="Arial" w:hAnsi="Arial" w:cs="Arial"/>
        </w:rPr>
        <w:t>million to 94 million in developing or transition countries from 1991 to 2000, and the number of countries involved in such schemes</w:t>
      </w:r>
      <w:r w:rsidR="00E90189" w:rsidRPr="000A0BFB">
        <w:rPr>
          <w:rFonts w:ascii="Arial" w:hAnsi="Arial" w:cs="Arial"/>
        </w:rPr>
        <w:t xml:space="preserve"> increased</w:t>
      </w:r>
      <w:r w:rsidR="000F6B73" w:rsidRPr="000A0BFB">
        <w:rPr>
          <w:rFonts w:ascii="Arial" w:hAnsi="Arial" w:cs="Arial"/>
        </w:rPr>
        <w:t xml:space="preserve"> from four to 38, the outsourcing of water </w:t>
      </w:r>
      <w:r w:rsidR="002E3E58" w:rsidRPr="000A0BFB">
        <w:rPr>
          <w:rFonts w:ascii="Arial" w:hAnsi="Arial" w:cs="Arial"/>
        </w:rPr>
        <w:t xml:space="preserve">and wastewater </w:t>
      </w:r>
      <w:r w:rsidR="000F6B73" w:rsidRPr="000A0BFB">
        <w:rPr>
          <w:rFonts w:ascii="Arial" w:hAnsi="Arial" w:cs="Arial"/>
        </w:rPr>
        <w:t xml:space="preserve">management </w:t>
      </w:r>
      <w:r w:rsidR="00580654" w:rsidRPr="000A0BFB">
        <w:rPr>
          <w:rFonts w:ascii="Arial" w:hAnsi="Arial" w:cs="Arial"/>
        </w:rPr>
        <w:t xml:space="preserve">services </w:t>
      </w:r>
      <w:r w:rsidR="000F6B73" w:rsidRPr="000A0BFB">
        <w:rPr>
          <w:rFonts w:ascii="Arial" w:hAnsi="Arial" w:cs="Arial"/>
        </w:rPr>
        <w:t>to private contractors has decreased in the last decade (World Bank, 2009).</w:t>
      </w:r>
      <w:r w:rsidR="00516D06" w:rsidRPr="000A0BFB">
        <w:rPr>
          <w:rStyle w:val="FootnoteReference"/>
          <w:rFonts w:ascii="Arial" w:hAnsi="Arial" w:cs="Arial"/>
        </w:rPr>
        <w:footnoteReference w:id="2"/>
      </w:r>
      <w:r w:rsidR="002E3E58" w:rsidRPr="000A0BFB">
        <w:rPr>
          <w:rFonts w:ascii="Arial" w:hAnsi="Arial" w:cs="Arial"/>
        </w:rPr>
        <w:t xml:space="preserve">While the benefits of increased access to sanitation services have been well documented, </w:t>
      </w:r>
      <w:r w:rsidR="00E56949" w:rsidRPr="000A0BFB">
        <w:rPr>
          <w:rFonts w:ascii="Arial" w:hAnsi="Arial" w:cs="Arial"/>
        </w:rPr>
        <w:t>many governments and municipalities are</w:t>
      </w:r>
      <w:r w:rsidR="002E3E58" w:rsidRPr="000A0BFB">
        <w:rPr>
          <w:rFonts w:ascii="Arial" w:hAnsi="Arial" w:cs="Arial"/>
        </w:rPr>
        <w:t xml:space="preserve"> still </w:t>
      </w:r>
      <w:r w:rsidR="00E56949" w:rsidRPr="000A0BFB">
        <w:rPr>
          <w:rFonts w:ascii="Arial" w:hAnsi="Arial" w:cs="Arial"/>
        </w:rPr>
        <w:t xml:space="preserve"> failing to provide even the most basic of </w:t>
      </w:r>
      <w:r w:rsidR="002E3E58" w:rsidRPr="000A0BFB">
        <w:rPr>
          <w:rFonts w:ascii="Arial" w:hAnsi="Arial" w:cs="Arial"/>
        </w:rPr>
        <w:t xml:space="preserve">these </w:t>
      </w:r>
      <w:r w:rsidR="00E56949" w:rsidRPr="000A0BFB">
        <w:rPr>
          <w:rFonts w:ascii="Arial" w:hAnsi="Arial" w:cs="Arial"/>
        </w:rPr>
        <w:t xml:space="preserve">services to large proportions of their populations.  </w:t>
      </w:r>
    </w:p>
    <w:p w:rsidR="00622D06" w:rsidRPr="000A0BFB" w:rsidRDefault="00D6473F" w:rsidP="00F2332A">
      <w:pPr>
        <w:jc w:val="both"/>
        <w:rPr>
          <w:rFonts w:ascii="Arial" w:hAnsi="Arial" w:cs="Arial"/>
        </w:rPr>
      </w:pPr>
      <w:r w:rsidRPr="000A0BFB">
        <w:rPr>
          <w:rFonts w:ascii="Arial" w:hAnsi="Arial" w:cs="Arial"/>
        </w:rPr>
        <w:t>Th</w:t>
      </w:r>
      <w:r w:rsidR="00A1701C" w:rsidRPr="000A0BFB">
        <w:rPr>
          <w:rFonts w:ascii="Arial" w:hAnsi="Arial" w:cs="Arial"/>
        </w:rPr>
        <w:t xml:space="preserve">is </w:t>
      </w:r>
      <w:r w:rsidRPr="000A0BFB">
        <w:rPr>
          <w:rFonts w:ascii="Arial" w:hAnsi="Arial" w:cs="Arial"/>
        </w:rPr>
        <w:t>report provide</w:t>
      </w:r>
      <w:r w:rsidR="00A1701C" w:rsidRPr="000A0BFB">
        <w:rPr>
          <w:rFonts w:ascii="Arial" w:hAnsi="Arial" w:cs="Arial"/>
        </w:rPr>
        <w:t>s</w:t>
      </w:r>
      <w:r w:rsidRPr="000A0BFB">
        <w:rPr>
          <w:rFonts w:ascii="Arial" w:hAnsi="Arial" w:cs="Arial"/>
        </w:rPr>
        <w:t xml:space="preserve"> specific examples and global insights on the use of PPPs in wastewater </w:t>
      </w:r>
      <w:r w:rsidR="006C3722" w:rsidRPr="000A0BFB">
        <w:rPr>
          <w:rFonts w:ascii="Arial" w:hAnsi="Arial" w:cs="Arial"/>
        </w:rPr>
        <w:t xml:space="preserve">and sewerage </w:t>
      </w:r>
      <w:r w:rsidRPr="000A0BFB">
        <w:rPr>
          <w:rFonts w:ascii="Arial" w:hAnsi="Arial" w:cs="Arial"/>
        </w:rPr>
        <w:t>management in low and middle income countries around the world. The case studies that follow</w:t>
      </w:r>
      <w:r w:rsidR="0058392B">
        <w:rPr>
          <w:rFonts w:ascii="Arial" w:hAnsi="Arial" w:cs="Arial"/>
        </w:rPr>
        <w:t xml:space="preserve"> </w:t>
      </w:r>
      <w:r w:rsidRPr="000A0BFB">
        <w:rPr>
          <w:rFonts w:ascii="Arial" w:hAnsi="Arial" w:cs="Arial"/>
        </w:rPr>
        <w:t xml:space="preserve">investigate whether PPPs can and do provide </w:t>
      </w:r>
      <w:r w:rsidR="006C3722" w:rsidRPr="000A0BFB">
        <w:rPr>
          <w:rFonts w:ascii="Arial" w:hAnsi="Arial" w:cs="Arial"/>
        </w:rPr>
        <w:t xml:space="preserve">similar </w:t>
      </w:r>
      <w:r w:rsidRPr="000A0BFB">
        <w:rPr>
          <w:rFonts w:ascii="Arial" w:hAnsi="Arial" w:cs="Arial"/>
        </w:rPr>
        <w:t xml:space="preserve">operational, </w:t>
      </w:r>
      <w:r w:rsidRPr="000A0BFB">
        <w:rPr>
          <w:rFonts w:ascii="Arial" w:hAnsi="Arial" w:cs="Arial"/>
        </w:rPr>
        <w:lastRenderedPageBreak/>
        <w:t>managerial, and financial</w:t>
      </w:r>
      <w:r w:rsidR="00127CF5" w:rsidRPr="000A0BFB">
        <w:rPr>
          <w:rFonts w:ascii="Arial" w:hAnsi="Arial" w:cs="Arial"/>
        </w:rPr>
        <w:t xml:space="preserve"> enhancements </w:t>
      </w:r>
      <w:r w:rsidRPr="000A0BFB">
        <w:rPr>
          <w:rFonts w:ascii="Arial" w:hAnsi="Arial" w:cs="Arial"/>
        </w:rPr>
        <w:t>to utilities responsible for waste water and sludge management</w:t>
      </w:r>
      <w:r w:rsidR="006C3722" w:rsidRPr="000A0BFB">
        <w:rPr>
          <w:rFonts w:ascii="Arial" w:hAnsi="Arial" w:cs="Arial"/>
        </w:rPr>
        <w:t xml:space="preserve"> that are evident in other infrastructure sectors</w:t>
      </w:r>
      <w:r w:rsidRPr="000A0BFB">
        <w:rPr>
          <w:rFonts w:ascii="Arial" w:hAnsi="Arial" w:cs="Arial"/>
        </w:rPr>
        <w:t xml:space="preserve">. </w:t>
      </w:r>
      <w:r w:rsidR="00F8479D" w:rsidRPr="000A0BFB">
        <w:rPr>
          <w:rFonts w:ascii="Arial" w:hAnsi="Arial" w:cs="Arial"/>
        </w:rPr>
        <w:t xml:space="preserve">The report will also attempt to glean and highlight </w:t>
      </w:r>
      <w:r w:rsidR="00D41313" w:rsidRPr="000A0BFB">
        <w:rPr>
          <w:rFonts w:ascii="Arial" w:hAnsi="Arial" w:cs="Arial"/>
        </w:rPr>
        <w:t xml:space="preserve">key </w:t>
      </w:r>
      <w:r w:rsidR="00EE75E7">
        <w:rPr>
          <w:rFonts w:ascii="Arial" w:hAnsi="Arial" w:cs="Arial"/>
        </w:rPr>
        <w:t xml:space="preserve">success </w:t>
      </w:r>
      <w:r w:rsidR="00D41313" w:rsidRPr="000A0BFB">
        <w:rPr>
          <w:rFonts w:ascii="Arial" w:hAnsi="Arial" w:cs="Arial"/>
        </w:rPr>
        <w:t xml:space="preserve">factors </w:t>
      </w:r>
      <w:r w:rsidR="00F8479D" w:rsidRPr="000A0BFB">
        <w:rPr>
          <w:rFonts w:ascii="Arial" w:hAnsi="Arial" w:cs="Arial"/>
        </w:rPr>
        <w:t>from effective waste management PPP projects</w:t>
      </w:r>
      <w:r w:rsidR="00D41313" w:rsidRPr="000A0BFB">
        <w:rPr>
          <w:rFonts w:ascii="Arial" w:hAnsi="Arial" w:cs="Arial"/>
        </w:rPr>
        <w:t xml:space="preserve">. Particular focus will be placed on </w:t>
      </w:r>
      <w:r w:rsidR="00673B1D">
        <w:rPr>
          <w:rFonts w:ascii="Arial" w:hAnsi="Arial" w:cs="Arial"/>
        </w:rPr>
        <w:t>procurement methodolog</w:t>
      </w:r>
      <w:r w:rsidR="001D2E36">
        <w:rPr>
          <w:rFonts w:ascii="Arial" w:hAnsi="Arial" w:cs="Arial"/>
        </w:rPr>
        <w:t>y</w:t>
      </w:r>
      <w:r w:rsidR="00673B1D">
        <w:rPr>
          <w:rFonts w:ascii="Arial" w:hAnsi="Arial" w:cs="Arial"/>
        </w:rPr>
        <w:t xml:space="preserve">, stakeholder participation, </w:t>
      </w:r>
      <w:r w:rsidR="00D41313" w:rsidRPr="000A0BFB">
        <w:rPr>
          <w:rFonts w:ascii="Arial" w:hAnsi="Arial" w:cs="Arial"/>
        </w:rPr>
        <w:t>project structuring</w:t>
      </w:r>
      <w:r w:rsidR="00673B1D">
        <w:rPr>
          <w:rFonts w:ascii="Arial" w:hAnsi="Arial" w:cs="Arial"/>
        </w:rPr>
        <w:t xml:space="preserve"> and </w:t>
      </w:r>
      <w:r w:rsidR="006A4B4B" w:rsidRPr="000A0BFB">
        <w:rPr>
          <w:rFonts w:ascii="Arial" w:hAnsi="Arial" w:cs="Arial"/>
        </w:rPr>
        <w:t xml:space="preserve">risk sharing, </w:t>
      </w:r>
      <w:r w:rsidR="00D41313" w:rsidRPr="000A0BFB">
        <w:rPr>
          <w:rFonts w:ascii="Arial" w:hAnsi="Arial" w:cs="Arial"/>
        </w:rPr>
        <w:t xml:space="preserve">enabling environment and operational enhancements provided by </w:t>
      </w:r>
      <w:r w:rsidR="009062FF" w:rsidRPr="000A0BFB">
        <w:rPr>
          <w:rFonts w:ascii="Arial" w:hAnsi="Arial" w:cs="Arial"/>
        </w:rPr>
        <w:t xml:space="preserve">the </w:t>
      </w:r>
      <w:r w:rsidR="00F8479D" w:rsidRPr="000A0BFB">
        <w:rPr>
          <w:rFonts w:ascii="Arial" w:hAnsi="Arial" w:cs="Arial"/>
        </w:rPr>
        <w:t>PPP structure. Lastly, the report will i</w:t>
      </w:r>
      <w:r w:rsidR="007E5242" w:rsidRPr="000A0BFB">
        <w:rPr>
          <w:rFonts w:ascii="Arial" w:hAnsi="Arial" w:cs="Arial"/>
        </w:rPr>
        <w:t xml:space="preserve">dentify lessons </w:t>
      </w:r>
      <w:r w:rsidR="00E72345" w:rsidRPr="000A0BFB">
        <w:rPr>
          <w:rFonts w:ascii="Arial" w:hAnsi="Arial" w:cs="Arial"/>
        </w:rPr>
        <w:t xml:space="preserve">learned </w:t>
      </w:r>
      <w:r w:rsidR="004C3C02" w:rsidRPr="000A0BFB">
        <w:rPr>
          <w:rFonts w:ascii="Arial" w:hAnsi="Arial" w:cs="Arial"/>
        </w:rPr>
        <w:t xml:space="preserve">from </w:t>
      </w:r>
      <w:r w:rsidR="00F8479D" w:rsidRPr="000A0BFB">
        <w:rPr>
          <w:rFonts w:ascii="Arial" w:hAnsi="Arial" w:cs="Arial"/>
        </w:rPr>
        <w:t>each case</w:t>
      </w:r>
      <w:r w:rsidR="004C3C02" w:rsidRPr="000A0BFB">
        <w:rPr>
          <w:rFonts w:ascii="Arial" w:hAnsi="Arial" w:cs="Arial"/>
        </w:rPr>
        <w:t xml:space="preserve"> and </w:t>
      </w:r>
      <w:r w:rsidR="00601FC2" w:rsidRPr="000A0BFB">
        <w:rPr>
          <w:rFonts w:ascii="Arial" w:hAnsi="Arial" w:cs="Arial"/>
        </w:rPr>
        <w:t xml:space="preserve">make suggestions for how to </w:t>
      </w:r>
      <w:r w:rsidR="007E5242" w:rsidRPr="000A0BFB">
        <w:rPr>
          <w:rFonts w:ascii="Arial" w:hAnsi="Arial" w:cs="Arial"/>
        </w:rPr>
        <w:t>replicat</w:t>
      </w:r>
      <w:r w:rsidR="00F8479D" w:rsidRPr="000A0BFB">
        <w:rPr>
          <w:rFonts w:ascii="Arial" w:hAnsi="Arial" w:cs="Arial"/>
        </w:rPr>
        <w:t xml:space="preserve">e </w:t>
      </w:r>
      <w:r w:rsidR="003F356E">
        <w:rPr>
          <w:rFonts w:ascii="Arial" w:hAnsi="Arial" w:cs="Arial"/>
        </w:rPr>
        <w:t xml:space="preserve">the </w:t>
      </w:r>
      <w:r w:rsidR="00EA61DA">
        <w:rPr>
          <w:rFonts w:ascii="Arial" w:hAnsi="Arial" w:cs="Arial"/>
        </w:rPr>
        <w:t>key</w:t>
      </w:r>
      <w:r w:rsidR="0058392B">
        <w:rPr>
          <w:rFonts w:ascii="Arial" w:hAnsi="Arial" w:cs="Arial"/>
        </w:rPr>
        <w:t xml:space="preserve"> </w:t>
      </w:r>
      <w:r w:rsidR="003F356E">
        <w:rPr>
          <w:rFonts w:ascii="Arial" w:hAnsi="Arial" w:cs="Arial"/>
        </w:rPr>
        <w:t xml:space="preserve">elements of </w:t>
      </w:r>
      <w:r w:rsidR="00B06AE5">
        <w:rPr>
          <w:rFonts w:ascii="Arial" w:hAnsi="Arial" w:cs="Arial"/>
        </w:rPr>
        <w:t xml:space="preserve">the </w:t>
      </w:r>
      <w:r w:rsidR="003F356E">
        <w:rPr>
          <w:rFonts w:ascii="Arial" w:hAnsi="Arial" w:cs="Arial"/>
        </w:rPr>
        <w:t>more successful projects</w:t>
      </w:r>
      <w:r w:rsidR="00F8479D" w:rsidRPr="000A0BFB">
        <w:rPr>
          <w:rFonts w:ascii="Arial" w:hAnsi="Arial" w:cs="Arial"/>
        </w:rPr>
        <w:t>,</w:t>
      </w:r>
      <w:r w:rsidR="00601FC2" w:rsidRPr="000A0BFB">
        <w:rPr>
          <w:rFonts w:ascii="Arial" w:hAnsi="Arial" w:cs="Arial"/>
        </w:rPr>
        <w:t xml:space="preserve"> particularly those that </w:t>
      </w:r>
      <w:r w:rsidR="007E5242" w:rsidRPr="000A0BFB">
        <w:rPr>
          <w:rFonts w:ascii="Arial" w:hAnsi="Arial" w:cs="Arial"/>
        </w:rPr>
        <w:t>benefit the</w:t>
      </w:r>
      <w:r w:rsidR="0058392B">
        <w:rPr>
          <w:rFonts w:ascii="Arial" w:hAnsi="Arial" w:cs="Arial"/>
        </w:rPr>
        <w:t xml:space="preserve"> </w:t>
      </w:r>
      <w:r w:rsidR="007E5242" w:rsidRPr="000A0BFB">
        <w:rPr>
          <w:rFonts w:ascii="Arial" w:hAnsi="Arial" w:cs="Arial"/>
        </w:rPr>
        <w:t>poorest</w:t>
      </w:r>
      <w:r w:rsidR="00601FC2" w:rsidRPr="000A0BFB">
        <w:rPr>
          <w:rFonts w:ascii="Arial" w:hAnsi="Arial" w:cs="Arial"/>
        </w:rPr>
        <w:t xml:space="preserve"> and most under served</w:t>
      </w:r>
      <w:r w:rsidR="00622D06" w:rsidRPr="000A0BFB">
        <w:rPr>
          <w:rFonts w:ascii="Arial" w:hAnsi="Arial" w:cs="Arial"/>
        </w:rPr>
        <w:t xml:space="preserve">. </w:t>
      </w:r>
    </w:p>
    <w:p w:rsidR="009355F5" w:rsidRDefault="009355F5">
      <w:pPr>
        <w:rPr>
          <w:rFonts w:ascii="Arial" w:eastAsiaTheme="majorEastAsia" w:hAnsi="Arial" w:cs="Arial"/>
          <w:b/>
          <w:bCs/>
          <w:color w:val="002060"/>
          <w:sz w:val="32"/>
        </w:rPr>
      </w:pPr>
      <w:r>
        <w:rPr>
          <w:rFonts w:ascii="Arial" w:hAnsi="Arial" w:cs="Arial"/>
          <w:color w:val="002060"/>
          <w:sz w:val="32"/>
        </w:rPr>
        <w:br w:type="page"/>
      </w:r>
    </w:p>
    <w:p w:rsidR="00F8479D" w:rsidRPr="000A0BFB" w:rsidRDefault="00DB0A27" w:rsidP="008914B3">
      <w:pPr>
        <w:pStyle w:val="Heading1"/>
        <w:rPr>
          <w:rFonts w:ascii="Arial" w:hAnsi="Arial" w:cs="Arial"/>
          <w:szCs w:val="22"/>
        </w:rPr>
      </w:pPr>
      <w:bookmarkStart w:id="4" w:name="_Toc404073787"/>
      <w:r w:rsidRPr="000A0BFB">
        <w:rPr>
          <w:rFonts w:ascii="Arial" w:hAnsi="Arial" w:cs="Arial"/>
          <w:color w:val="002060"/>
          <w:sz w:val="32"/>
          <w:szCs w:val="22"/>
        </w:rPr>
        <w:lastRenderedPageBreak/>
        <w:t>C</w:t>
      </w:r>
      <w:r w:rsidR="00F8479D" w:rsidRPr="000A0BFB">
        <w:rPr>
          <w:rFonts w:ascii="Arial" w:hAnsi="Arial" w:cs="Arial"/>
          <w:color w:val="002060"/>
          <w:sz w:val="32"/>
          <w:szCs w:val="22"/>
        </w:rPr>
        <w:t>ase Studies: Asia</w:t>
      </w:r>
      <w:bookmarkEnd w:id="4"/>
    </w:p>
    <w:p w:rsidR="009B2E01" w:rsidRPr="000A0BFB" w:rsidRDefault="009B2E01" w:rsidP="00F8479D">
      <w:pPr>
        <w:pStyle w:val="Heading2"/>
        <w:rPr>
          <w:rFonts w:ascii="Arial" w:hAnsi="Arial" w:cs="Arial"/>
          <w:color w:val="92D050"/>
          <w:sz w:val="22"/>
          <w:szCs w:val="22"/>
        </w:rPr>
      </w:pPr>
      <w:bookmarkStart w:id="5" w:name="_Toc404073788"/>
      <w:r w:rsidRPr="000A0BFB">
        <w:rPr>
          <w:rFonts w:ascii="Arial" w:hAnsi="Arial" w:cs="Arial"/>
          <w:color w:val="92D050"/>
          <w:sz w:val="24"/>
          <w:szCs w:val="22"/>
        </w:rPr>
        <w:t>India: Alandur Sewerage Project</w:t>
      </w:r>
      <w:bookmarkEnd w:id="5"/>
    </w:p>
    <w:p w:rsidR="00F8479D" w:rsidRPr="000A0BFB" w:rsidRDefault="00F8479D" w:rsidP="00F8479D">
      <w:pPr>
        <w:rPr>
          <w:rFonts w:ascii="Arial" w:hAnsi="Arial" w:cs="Arial"/>
        </w:rPr>
      </w:pPr>
    </w:p>
    <w:p w:rsidR="00CD1D20" w:rsidRPr="000A0BFB" w:rsidRDefault="00CD1D20" w:rsidP="00F8479D">
      <w:pPr>
        <w:rPr>
          <w:rFonts w:ascii="Arial" w:hAnsi="Arial" w:cs="Arial"/>
          <w:b/>
        </w:rPr>
      </w:pPr>
      <w:r w:rsidRPr="000A0BFB">
        <w:rPr>
          <w:rFonts w:ascii="Arial" w:hAnsi="Arial" w:cs="Arial"/>
          <w:b/>
        </w:rPr>
        <w:t>Project Overview</w:t>
      </w:r>
    </w:p>
    <w:p w:rsidR="00F8479D" w:rsidRPr="000A0BFB" w:rsidRDefault="00F8479D" w:rsidP="00F2332A">
      <w:pPr>
        <w:jc w:val="both"/>
        <w:rPr>
          <w:rFonts w:ascii="Arial" w:hAnsi="Arial" w:cs="Arial"/>
        </w:rPr>
      </w:pPr>
      <w:r w:rsidRPr="000A0BFB">
        <w:rPr>
          <w:rFonts w:ascii="Arial" w:hAnsi="Arial" w:cs="Arial"/>
        </w:rPr>
        <w:t>The Alandur Sewerage Project (</w:t>
      </w:r>
      <w:r w:rsidR="009B2E01" w:rsidRPr="000A0BFB">
        <w:rPr>
          <w:rFonts w:ascii="Arial" w:hAnsi="Arial" w:cs="Arial"/>
        </w:rPr>
        <w:t>ASP</w:t>
      </w:r>
      <w:r w:rsidRPr="000A0BFB">
        <w:rPr>
          <w:rFonts w:ascii="Arial" w:hAnsi="Arial" w:cs="Arial"/>
        </w:rPr>
        <w:t xml:space="preserve">) was the first project in India’s </w:t>
      </w:r>
      <w:r w:rsidR="009B2E01" w:rsidRPr="000A0BFB">
        <w:rPr>
          <w:rFonts w:ascii="Arial" w:hAnsi="Arial" w:cs="Arial"/>
        </w:rPr>
        <w:t xml:space="preserve">municipal water sector </w:t>
      </w:r>
      <w:r w:rsidR="009062FF" w:rsidRPr="000A0BFB">
        <w:rPr>
          <w:rFonts w:ascii="Arial" w:hAnsi="Arial" w:cs="Arial"/>
        </w:rPr>
        <w:t>developed</w:t>
      </w:r>
      <w:r w:rsidR="0058392B">
        <w:rPr>
          <w:rFonts w:ascii="Arial" w:hAnsi="Arial" w:cs="Arial"/>
        </w:rPr>
        <w:t xml:space="preserve"> </w:t>
      </w:r>
      <w:r w:rsidRPr="000A0BFB">
        <w:rPr>
          <w:rFonts w:ascii="Arial" w:hAnsi="Arial" w:cs="Arial"/>
        </w:rPr>
        <w:t>as a public private partnership. ASP</w:t>
      </w:r>
      <w:r w:rsidR="009B2E01" w:rsidRPr="000A0BFB">
        <w:rPr>
          <w:rFonts w:ascii="Arial" w:hAnsi="Arial" w:cs="Arial"/>
        </w:rPr>
        <w:t xml:space="preserve"> was initiated in 1996 by the </w:t>
      </w:r>
      <w:r w:rsidR="006A4B4B" w:rsidRPr="000A0BFB">
        <w:rPr>
          <w:rFonts w:ascii="Arial" w:hAnsi="Arial" w:cs="Arial"/>
        </w:rPr>
        <w:t xml:space="preserve">chairman </w:t>
      </w:r>
      <w:r w:rsidR="009B2E01" w:rsidRPr="000A0BFB">
        <w:rPr>
          <w:rFonts w:ascii="Arial" w:hAnsi="Arial" w:cs="Arial"/>
        </w:rPr>
        <w:t>of the Alandur Municipality</w:t>
      </w:r>
      <w:r w:rsidRPr="000A0BFB">
        <w:rPr>
          <w:rFonts w:ascii="Arial" w:hAnsi="Arial" w:cs="Arial"/>
        </w:rPr>
        <w:t>, an area with a population of approximately 165,000</w:t>
      </w:r>
      <w:r w:rsidR="00B90C29" w:rsidRPr="000A0BFB">
        <w:rPr>
          <w:rFonts w:ascii="Arial" w:hAnsi="Arial" w:cs="Arial"/>
        </w:rPr>
        <w:t xml:space="preserve"> inhabitants</w:t>
      </w:r>
      <w:r w:rsidRPr="000A0BFB">
        <w:rPr>
          <w:rFonts w:ascii="Arial" w:hAnsi="Arial" w:cs="Arial"/>
        </w:rPr>
        <w:t>, 25% of which live</w:t>
      </w:r>
      <w:r w:rsidR="00B90C29" w:rsidRPr="000A0BFB">
        <w:rPr>
          <w:rFonts w:ascii="Arial" w:hAnsi="Arial" w:cs="Arial"/>
        </w:rPr>
        <w:t>d</w:t>
      </w:r>
      <w:r w:rsidRPr="000A0BFB">
        <w:rPr>
          <w:rFonts w:ascii="Arial" w:hAnsi="Arial" w:cs="Arial"/>
        </w:rPr>
        <w:t xml:space="preserve"> in slum areas. </w:t>
      </w:r>
      <w:r w:rsidR="009B2E01" w:rsidRPr="000A0BFB">
        <w:rPr>
          <w:rFonts w:ascii="Arial" w:hAnsi="Arial" w:cs="Arial"/>
        </w:rPr>
        <w:t xml:space="preserve">The proposed sewerage system </w:t>
      </w:r>
      <w:r w:rsidRPr="000A0BFB">
        <w:rPr>
          <w:rFonts w:ascii="Arial" w:hAnsi="Arial" w:cs="Arial"/>
        </w:rPr>
        <w:t>had the following design features and capacities:</w:t>
      </w:r>
    </w:p>
    <w:p w:rsidR="00F8479D" w:rsidRPr="000A0BFB" w:rsidRDefault="00051584" w:rsidP="00F2332A">
      <w:pPr>
        <w:pStyle w:val="ListParagraph"/>
        <w:numPr>
          <w:ilvl w:val="0"/>
          <w:numId w:val="11"/>
        </w:numPr>
        <w:jc w:val="both"/>
        <w:rPr>
          <w:rFonts w:ascii="Arial" w:hAnsi="Arial" w:cs="Arial"/>
        </w:rPr>
      </w:pPr>
      <w:r w:rsidRPr="000A0BFB">
        <w:rPr>
          <w:rFonts w:ascii="Arial" w:hAnsi="Arial" w:cs="Arial"/>
        </w:rPr>
        <w:t xml:space="preserve">Capability to </w:t>
      </w:r>
      <w:r w:rsidR="00E26F33" w:rsidRPr="000A0BFB">
        <w:rPr>
          <w:rFonts w:ascii="Arial" w:hAnsi="Arial" w:cs="Arial"/>
        </w:rPr>
        <w:t>serv</w:t>
      </w:r>
      <w:r w:rsidRPr="000A0BFB">
        <w:rPr>
          <w:rFonts w:ascii="Arial" w:hAnsi="Arial" w:cs="Arial"/>
        </w:rPr>
        <w:t xml:space="preserve">e </w:t>
      </w:r>
      <w:r w:rsidR="009062FF" w:rsidRPr="000A0BFB">
        <w:rPr>
          <w:rFonts w:ascii="Arial" w:hAnsi="Arial" w:cs="Arial"/>
        </w:rPr>
        <w:t xml:space="preserve">an </w:t>
      </w:r>
      <w:r w:rsidR="009B2E01" w:rsidRPr="000A0BFB">
        <w:rPr>
          <w:rFonts w:ascii="Arial" w:hAnsi="Arial" w:cs="Arial"/>
        </w:rPr>
        <w:t xml:space="preserve">estimated population of about 300,000 in 2027 </w:t>
      </w:r>
    </w:p>
    <w:p w:rsidR="00F8479D" w:rsidRPr="000A0BFB" w:rsidRDefault="00E26F33" w:rsidP="00F2332A">
      <w:pPr>
        <w:pStyle w:val="ListParagraph"/>
        <w:numPr>
          <w:ilvl w:val="0"/>
          <w:numId w:val="11"/>
        </w:numPr>
        <w:jc w:val="both"/>
        <w:rPr>
          <w:rFonts w:ascii="Arial" w:hAnsi="Arial" w:cs="Arial"/>
        </w:rPr>
      </w:pPr>
      <w:r w:rsidRPr="000A0BFB">
        <w:rPr>
          <w:rFonts w:ascii="Arial" w:hAnsi="Arial" w:cs="Arial"/>
        </w:rPr>
        <w:t>T</w:t>
      </w:r>
      <w:r w:rsidR="009B2E01" w:rsidRPr="000A0BFB">
        <w:rPr>
          <w:rFonts w:ascii="Arial" w:hAnsi="Arial" w:cs="Arial"/>
        </w:rPr>
        <w:t xml:space="preserve">o be completed within a five-year </w:t>
      </w:r>
      <w:r w:rsidR="00F8479D" w:rsidRPr="000A0BFB">
        <w:rPr>
          <w:rFonts w:ascii="Arial" w:hAnsi="Arial" w:cs="Arial"/>
        </w:rPr>
        <w:t>period from its inception date</w:t>
      </w:r>
    </w:p>
    <w:p w:rsidR="009B2E01" w:rsidRPr="000A0BFB" w:rsidRDefault="00E26F33" w:rsidP="00F2332A">
      <w:pPr>
        <w:pStyle w:val="ListParagraph"/>
        <w:numPr>
          <w:ilvl w:val="0"/>
          <w:numId w:val="11"/>
        </w:numPr>
        <w:jc w:val="both"/>
        <w:rPr>
          <w:rFonts w:ascii="Arial" w:hAnsi="Arial" w:cs="Arial"/>
        </w:rPr>
      </w:pPr>
      <w:r w:rsidRPr="000A0BFB">
        <w:rPr>
          <w:rFonts w:ascii="Arial" w:hAnsi="Arial" w:cs="Arial"/>
        </w:rPr>
        <w:t>Capacity in the initial phase was planned at a treatment level of 1</w:t>
      </w:r>
      <w:r w:rsidR="009B2E01" w:rsidRPr="000A0BFB">
        <w:rPr>
          <w:rFonts w:ascii="Arial" w:hAnsi="Arial" w:cs="Arial"/>
        </w:rPr>
        <w:t xml:space="preserve">2 million </w:t>
      </w:r>
      <w:r w:rsidR="00CB1117" w:rsidRPr="000A0BFB">
        <w:rPr>
          <w:rFonts w:ascii="Arial" w:hAnsi="Arial" w:cs="Arial"/>
        </w:rPr>
        <w:t>l</w:t>
      </w:r>
      <w:r w:rsidRPr="000A0BFB">
        <w:rPr>
          <w:rFonts w:ascii="Arial" w:hAnsi="Arial" w:cs="Arial"/>
        </w:rPr>
        <w:t>i</w:t>
      </w:r>
      <w:r w:rsidR="00CB1117" w:rsidRPr="000A0BFB">
        <w:rPr>
          <w:rFonts w:ascii="Arial" w:hAnsi="Arial" w:cs="Arial"/>
        </w:rPr>
        <w:t>t</w:t>
      </w:r>
      <w:r w:rsidRPr="000A0BFB">
        <w:rPr>
          <w:rFonts w:ascii="Arial" w:hAnsi="Arial" w:cs="Arial"/>
        </w:rPr>
        <w:t>e</w:t>
      </w:r>
      <w:r w:rsidR="00CB1117" w:rsidRPr="000A0BFB">
        <w:rPr>
          <w:rFonts w:ascii="Arial" w:hAnsi="Arial" w:cs="Arial"/>
        </w:rPr>
        <w:t>rs</w:t>
      </w:r>
      <w:r w:rsidR="009B2E01" w:rsidRPr="000A0BFB">
        <w:rPr>
          <w:rFonts w:ascii="Arial" w:hAnsi="Arial" w:cs="Arial"/>
        </w:rPr>
        <w:t xml:space="preserve"> per day (mld) of sewage supplied by the municipality. </w:t>
      </w:r>
      <w:r w:rsidR="00D310B5" w:rsidRPr="000A0BFB">
        <w:rPr>
          <w:rFonts w:ascii="Arial" w:hAnsi="Arial" w:cs="Arial"/>
        </w:rPr>
        <w:t>The u</w:t>
      </w:r>
      <w:r w:rsidR="009B2E01" w:rsidRPr="000A0BFB">
        <w:rPr>
          <w:rFonts w:ascii="Arial" w:hAnsi="Arial" w:cs="Arial"/>
        </w:rPr>
        <w:t>ltimate</w:t>
      </w:r>
      <w:r w:rsidR="0058392B">
        <w:rPr>
          <w:rFonts w:ascii="Arial" w:hAnsi="Arial" w:cs="Arial"/>
        </w:rPr>
        <w:t xml:space="preserve"> </w:t>
      </w:r>
      <w:r w:rsidR="009B2E01" w:rsidRPr="000A0BFB">
        <w:rPr>
          <w:rFonts w:ascii="Arial" w:hAnsi="Arial" w:cs="Arial"/>
        </w:rPr>
        <w:t>capacity w</w:t>
      </w:r>
      <w:r w:rsidR="00D310B5" w:rsidRPr="000A0BFB">
        <w:rPr>
          <w:rFonts w:ascii="Arial" w:hAnsi="Arial" w:cs="Arial"/>
        </w:rPr>
        <w:t xml:space="preserve">ould </w:t>
      </w:r>
      <w:r w:rsidR="006A4B4B" w:rsidRPr="000A0BFB">
        <w:rPr>
          <w:rFonts w:ascii="Arial" w:hAnsi="Arial" w:cs="Arial"/>
        </w:rPr>
        <w:t xml:space="preserve">be </w:t>
      </w:r>
      <w:r w:rsidR="00D310B5" w:rsidRPr="000A0BFB">
        <w:rPr>
          <w:rFonts w:ascii="Arial" w:hAnsi="Arial" w:cs="Arial"/>
        </w:rPr>
        <w:t>double this.</w:t>
      </w:r>
    </w:p>
    <w:p w:rsidR="00E26F33" w:rsidRPr="000A0BFB" w:rsidRDefault="006A4B4B" w:rsidP="00F2332A">
      <w:pPr>
        <w:jc w:val="both"/>
        <w:rPr>
          <w:rFonts w:ascii="Arial" w:hAnsi="Arial" w:cs="Arial"/>
        </w:rPr>
      </w:pPr>
      <w:r w:rsidRPr="000A0BFB">
        <w:rPr>
          <w:rFonts w:ascii="Arial" w:hAnsi="Arial" w:cs="Arial"/>
        </w:rPr>
        <w:t xml:space="preserve">The project consisted of two components (i) the underground sewerage system and (ii) the sewerage treatment plant. </w:t>
      </w:r>
      <w:r w:rsidR="00E26F33" w:rsidRPr="000A0BFB">
        <w:rPr>
          <w:rFonts w:ascii="Arial" w:hAnsi="Arial" w:cs="Arial"/>
        </w:rPr>
        <w:t xml:space="preserve">The construction of the underground sewerage system in </w:t>
      </w:r>
      <w:r w:rsidR="00F2332A" w:rsidRPr="000A0BFB">
        <w:rPr>
          <w:rFonts w:ascii="Arial" w:hAnsi="Arial" w:cs="Arial"/>
        </w:rPr>
        <w:t xml:space="preserve">the town of </w:t>
      </w:r>
      <w:r w:rsidR="00E26F33" w:rsidRPr="000A0BFB">
        <w:rPr>
          <w:rFonts w:ascii="Arial" w:hAnsi="Arial" w:cs="Arial"/>
        </w:rPr>
        <w:t>Alandur</w:t>
      </w:r>
      <w:r w:rsidR="003C5118" w:rsidRPr="000A0BFB">
        <w:rPr>
          <w:rFonts w:ascii="Arial" w:hAnsi="Arial" w:cs="Arial"/>
        </w:rPr>
        <w:t xml:space="preserve"> (located </w:t>
      </w:r>
      <w:r w:rsidR="00AC6EBA" w:rsidRPr="000A0BFB">
        <w:rPr>
          <w:rFonts w:ascii="Arial" w:hAnsi="Arial" w:cs="Arial"/>
        </w:rPr>
        <w:t>a</w:t>
      </w:r>
      <w:r w:rsidR="00B634DC" w:rsidRPr="000A0BFB">
        <w:rPr>
          <w:rFonts w:ascii="Arial" w:hAnsi="Arial" w:cs="Arial"/>
        </w:rPr>
        <w:t xml:space="preserve">djacent to Chennai in the </w:t>
      </w:r>
      <w:r w:rsidR="00AC6EBA" w:rsidRPr="000A0BFB">
        <w:rPr>
          <w:rFonts w:ascii="Arial" w:hAnsi="Arial" w:cs="Arial"/>
        </w:rPr>
        <w:t>Chennai Metropolitan Area</w:t>
      </w:r>
      <w:r w:rsidR="003C5118" w:rsidRPr="000A0BFB">
        <w:rPr>
          <w:rFonts w:ascii="Arial" w:hAnsi="Arial" w:cs="Arial"/>
        </w:rPr>
        <w:t>)</w:t>
      </w:r>
      <w:r w:rsidR="00E26F33" w:rsidRPr="000A0BFB">
        <w:rPr>
          <w:rFonts w:ascii="Arial" w:hAnsi="Arial" w:cs="Arial"/>
        </w:rPr>
        <w:t xml:space="preserve">, involved the laying of pipes, </w:t>
      </w:r>
      <w:r w:rsidR="00CF1138" w:rsidRPr="000A0BFB">
        <w:rPr>
          <w:rFonts w:ascii="Arial" w:hAnsi="Arial" w:cs="Arial"/>
        </w:rPr>
        <w:t xml:space="preserve">and </w:t>
      </w:r>
      <w:r w:rsidR="00E26F33" w:rsidRPr="000A0BFB">
        <w:rPr>
          <w:rFonts w:ascii="Arial" w:hAnsi="Arial" w:cs="Arial"/>
        </w:rPr>
        <w:t xml:space="preserve">construction of pumping stations. These components were </w:t>
      </w:r>
      <w:r w:rsidR="008A3D82" w:rsidRPr="000A0BFB">
        <w:rPr>
          <w:rFonts w:ascii="Arial" w:hAnsi="Arial" w:cs="Arial"/>
        </w:rPr>
        <w:t xml:space="preserve">procured </w:t>
      </w:r>
      <w:r w:rsidR="00E26F33" w:rsidRPr="000A0BFB">
        <w:rPr>
          <w:rFonts w:ascii="Arial" w:hAnsi="Arial" w:cs="Arial"/>
        </w:rPr>
        <w:t>on a Bill of Quantities (BOQ) basis</w:t>
      </w:r>
      <w:r w:rsidR="00804CC6" w:rsidRPr="000A0BFB">
        <w:rPr>
          <w:rFonts w:ascii="Arial" w:hAnsi="Arial" w:cs="Arial"/>
        </w:rPr>
        <w:t xml:space="preserve">. Operations and maintenance of the underground system was accomplished through a </w:t>
      </w:r>
      <w:r w:rsidR="001A7393" w:rsidRPr="000A0BFB">
        <w:rPr>
          <w:rFonts w:ascii="Arial" w:hAnsi="Arial" w:cs="Arial"/>
        </w:rPr>
        <w:t>five</w:t>
      </w:r>
      <w:r w:rsidR="00804CC6" w:rsidRPr="000A0BFB">
        <w:rPr>
          <w:rFonts w:ascii="Arial" w:hAnsi="Arial" w:cs="Arial"/>
        </w:rPr>
        <w:t>-year operations and management contract with the private partner</w:t>
      </w:r>
      <w:r w:rsidR="00E26F33" w:rsidRPr="000A0BFB">
        <w:rPr>
          <w:rFonts w:ascii="Arial" w:hAnsi="Arial" w:cs="Arial"/>
        </w:rPr>
        <w:t>, while the construction and initial operation of the sewerage treatment plant (STP) was done using a Build-Operate-Transfer (BOT) contract</w:t>
      </w:r>
      <w:r w:rsidR="008A3D82" w:rsidRPr="000A0BFB">
        <w:rPr>
          <w:rFonts w:ascii="Arial" w:hAnsi="Arial" w:cs="Arial"/>
        </w:rPr>
        <w:t xml:space="preserve"> wi</w:t>
      </w:r>
      <w:r w:rsidR="00B476A5" w:rsidRPr="000A0BFB">
        <w:rPr>
          <w:rFonts w:ascii="Arial" w:hAnsi="Arial" w:cs="Arial"/>
        </w:rPr>
        <w:t xml:space="preserve">th a </w:t>
      </w:r>
      <w:r w:rsidR="00271ADC" w:rsidRPr="000A0BFB">
        <w:rPr>
          <w:rFonts w:ascii="Arial" w:hAnsi="Arial" w:cs="Arial"/>
        </w:rPr>
        <w:t>fourteen</w:t>
      </w:r>
      <w:r w:rsidR="00B476A5" w:rsidRPr="000A0BFB">
        <w:rPr>
          <w:rFonts w:ascii="Arial" w:hAnsi="Arial" w:cs="Arial"/>
        </w:rPr>
        <w:t>-</w:t>
      </w:r>
      <w:r w:rsidR="008A3D82" w:rsidRPr="000A0BFB">
        <w:rPr>
          <w:rFonts w:ascii="Arial" w:hAnsi="Arial" w:cs="Arial"/>
        </w:rPr>
        <w:t>year duration</w:t>
      </w:r>
      <w:r w:rsidR="00E26F33" w:rsidRPr="000A0BFB">
        <w:rPr>
          <w:rFonts w:ascii="Arial" w:hAnsi="Arial" w:cs="Arial"/>
        </w:rPr>
        <w:t>. The project</w:t>
      </w:r>
      <w:r w:rsidR="00D62831" w:rsidRPr="000A0BFB">
        <w:rPr>
          <w:rFonts w:ascii="Arial" w:hAnsi="Arial" w:cs="Arial"/>
        </w:rPr>
        <w:t xml:space="preserve"> was completed in October 2003 and required </w:t>
      </w:r>
      <w:r w:rsidR="005702C5" w:rsidRPr="000A0BFB">
        <w:rPr>
          <w:rFonts w:ascii="Arial" w:hAnsi="Arial" w:cs="Arial"/>
        </w:rPr>
        <w:t>$55</w:t>
      </w:r>
      <w:r w:rsidR="00CF1138" w:rsidRPr="000A0BFB">
        <w:rPr>
          <w:rFonts w:ascii="Arial" w:hAnsi="Arial" w:cs="Arial"/>
        </w:rPr>
        <w:t xml:space="preserve"> million</w:t>
      </w:r>
      <w:r w:rsidR="00D62831" w:rsidRPr="000A0BFB">
        <w:rPr>
          <w:rStyle w:val="FootnoteReference"/>
          <w:rFonts w:ascii="Arial" w:hAnsi="Arial" w:cs="Arial"/>
        </w:rPr>
        <w:footnoteReference w:id="3"/>
      </w:r>
      <w:r w:rsidR="00D62831" w:rsidRPr="000A0BFB">
        <w:rPr>
          <w:rFonts w:ascii="Arial" w:hAnsi="Arial" w:cs="Arial"/>
        </w:rPr>
        <w:t xml:space="preserve"> in capital investments</w:t>
      </w:r>
      <w:r w:rsidR="00094046" w:rsidRPr="000A0BFB">
        <w:rPr>
          <w:rFonts w:ascii="Arial" w:hAnsi="Arial" w:cs="Arial"/>
        </w:rPr>
        <w:t xml:space="preserve"> from various sources including local banks and financial institutions</w:t>
      </w:r>
      <w:r w:rsidR="00D62831" w:rsidRPr="000A0BFB">
        <w:rPr>
          <w:rFonts w:ascii="Arial" w:hAnsi="Arial" w:cs="Arial"/>
        </w:rPr>
        <w:t>.</w:t>
      </w:r>
      <w:r w:rsidR="00B476A5" w:rsidRPr="000A0BFB">
        <w:rPr>
          <w:rFonts w:ascii="Arial" w:hAnsi="Arial" w:cs="Arial"/>
        </w:rPr>
        <w:t xml:space="preserve"> The table below indicate</w:t>
      </w:r>
      <w:r w:rsidR="00815A7C">
        <w:rPr>
          <w:rFonts w:ascii="Arial" w:hAnsi="Arial" w:cs="Arial"/>
        </w:rPr>
        <w:t xml:space="preserve">s </w:t>
      </w:r>
      <w:r w:rsidR="00B476A5" w:rsidRPr="000A0BFB">
        <w:rPr>
          <w:rFonts w:ascii="Arial" w:hAnsi="Arial" w:cs="Arial"/>
        </w:rPr>
        <w:t xml:space="preserve">the sources of financing for the </w:t>
      </w:r>
      <w:r w:rsidR="00271ADF" w:rsidRPr="000A0BFB">
        <w:rPr>
          <w:rFonts w:ascii="Arial" w:hAnsi="Arial" w:cs="Arial"/>
        </w:rPr>
        <w:t>underground sewage system</w:t>
      </w:r>
      <w:r w:rsidR="00B42EA9" w:rsidRPr="000A0BFB">
        <w:rPr>
          <w:rFonts w:ascii="Arial" w:hAnsi="Arial" w:cs="Arial"/>
        </w:rPr>
        <w:t>.</w:t>
      </w:r>
    </w:p>
    <w:p w:rsidR="00C138E2" w:rsidRPr="000A0BFB" w:rsidRDefault="00F2332A" w:rsidP="00F2332A">
      <w:pPr>
        <w:spacing w:before="100" w:beforeAutospacing="1" w:after="100" w:afterAutospacing="1" w:line="240" w:lineRule="auto"/>
        <w:jc w:val="both"/>
        <w:rPr>
          <w:rFonts w:ascii="Arial" w:hAnsi="Arial" w:cs="Arial"/>
          <w:b/>
        </w:rPr>
      </w:pPr>
      <w:r w:rsidRPr="000A0BFB">
        <w:rPr>
          <w:rFonts w:ascii="Arial" w:hAnsi="Arial" w:cs="Arial"/>
          <w:b/>
        </w:rPr>
        <w:t xml:space="preserve">Table 1: </w:t>
      </w:r>
      <w:r w:rsidR="00804CC6" w:rsidRPr="000A0BFB">
        <w:rPr>
          <w:rFonts w:ascii="Arial" w:hAnsi="Arial" w:cs="Arial"/>
          <w:b/>
        </w:rPr>
        <w:t xml:space="preserve">Underground </w:t>
      </w:r>
      <w:r w:rsidR="00C138E2" w:rsidRPr="000A0BFB">
        <w:rPr>
          <w:rFonts w:ascii="Arial" w:hAnsi="Arial" w:cs="Arial"/>
          <w:b/>
        </w:rPr>
        <w:t>Sewage System Financing</w:t>
      </w:r>
    </w:p>
    <w:tbl>
      <w:tblPr>
        <w:tblStyle w:val="LightList-Accent1"/>
        <w:tblW w:w="0" w:type="auto"/>
        <w:tblLook w:val="04A0" w:firstRow="1" w:lastRow="0" w:firstColumn="1" w:lastColumn="0" w:noHBand="0" w:noVBand="1"/>
      </w:tblPr>
      <w:tblGrid>
        <w:gridCol w:w="6768"/>
        <w:gridCol w:w="2808"/>
      </w:tblGrid>
      <w:tr w:rsidR="00B476A5" w:rsidRPr="000A0BFB" w:rsidTr="003578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68" w:type="dxa"/>
            <w:shd w:val="clear" w:color="auto" w:fill="4472C4" w:themeFill="accent5"/>
          </w:tcPr>
          <w:p w:rsidR="00B476A5" w:rsidRPr="000A0BFB" w:rsidRDefault="00B476A5" w:rsidP="00F8479D">
            <w:pPr>
              <w:rPr>
                <w:rFonts w:ascii="Arial" w:hAnsi="Arial" w:cs="Arial"/>
              </w:rPr>
            </w:pPr>
            <w:r w:rsidRPr="000A0BFB">
              <w:rPr>
                <w:rFonts w:ascii="Arial" w:hAnsi="Arial" w:cs="Arial"/>
              </w:rPr>
              <w:t>Source</w:t>
            </w:r>
          </w:p>
        </w:tc>
        <w:tc>
          <w:tcPr>
            <w:tcW w:w="2808" w:type="dxa"/>
            <w:shd w:val="clear" w:color="auto" w:fill="4472C4" w:themeFill="accent5"/>
          </w:tcPr>
          <w:p w:rsidR="00B476A5" w:rsidRPr="000A0BFB" w:rsidRDefault="00B476A5" w:rsidP="00D4458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A0BFB">
              <w:rPr>
                <w:rFonts w:ascii="Arial" w:hAnsi="Arial" w:cs="Arial"/>
              </w:rPr>
              <w:t>Percentage of Financing</w:t>
            </w:r>
          </w:p>
        </w:tc>
      </w:tr>
      <w:tr w:rsidR="00B476A5" w:rsidRPr="000A0BFB" w:rsidTr="0035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B476A5" w:rsidRPr="00AC44D0" w:rsidRDefault="00B476A5" w:rsidP="00F8479D">
            <w:pPr>
              <w:rPr>
                <w:rFonts w:ascii="Arial" w:hAnsi="Arial" w:cs="Arial"/>
                <w:b w:val="0"/>
              </w:rPr>
            </w:pPr>
            <w:r w:rsidRPr="009355F5">
              <w:rPr>
                <w:rFonts w:ascii="Arial" w:hAnsi="Arial" w:cs="Arial"/>
              </w:rPr>
              <w:t>Grant from Tamil Nadu Urban Infrastructure Financial Services Limited (TNUIFSL)</w:t>
            </w:r>
          </w:p>
        </w:tc>
        <w:tc>
          <w:tcPr>
            <w:tcW w:w="2808" w:type="dxa"/>
          </w:tcPr>
          <w:p w:rsidR="00B476A5" w:rsidRPr="000A0BFB" w:rsidRDefault="00B476A5" w:rsidP="00815A7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A0BFB">
              <w:rPr>
                <w:rFonts w:ascii="Arial" w:hAnsi="Arial" w:cs="Arial"/>
              </w:rPr>
              <w:t>7.3%</w:t>
            </w:r>
          </w:p>
        </w:tc>
      </w:tr>
      <w:tr w:rsidR="00B476A5" w:rsidRPr="000A0BFB" w:rsidTr="00357802">
        <w:tc>
          <w:tcPr>
            <w:cnfStyle w:val="001000000000" w:firstRow="0" w:lastRow="0" w:firstColumn="1" w:lastColumn="0" w:oddVBand="0" w:evenVBand="0" w:oddHBand="0" w:evenHBand="0" w:firstRowFirstColumn="0" w:firstRowLastColumn="0" w:lastRowFirstColumn="0" w:lastRowLastColumn="0"/>
            <w:tcW w:w="6768" w:type="dxa"/>
          </w:tcPr>
          <w:p w:rsidR="00B476A5" w:rsidRPr="00AC44D0" w:rsidRDefault="00B476A5" w:rsidP="00B476A5">
            <w:pPr>
              <w:rPr>
                <w:rFonts w:ascii="Arial" w:hAnsi="Arial" w:cs="Arial"/>
                <w:b w:val="0"/>
              </w:rPr>
            </w:pPr>
            <w:r w:rsidRPr="009355F5">
              <w:rPr>
                <w:rFonts w:ascii="Arial" w:hAnsi="Arial" w:cs="Arial"/>
              </w:rPr>
              <w:t>Loan from TNUIFSL</w:t>
            </w:r>
          </w:p>
        </w:tc>
        <w:tc>
          <w:tcPr>
            <w:tcW w:w="2808" w:type="dxa"/>
          </w:tcPr>
          <w:p w:rsidR="00B476A5" w:rsidRPr="000A0BFB" w:rsidRDefault="00B476A5" w:rsidP="00815A7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A0BFB">
              <w:rPr>
                <w:rFonts w:ascii="Arial" w:hAnsi="Arial" w:cs="Arial"/>
              </w:rPr>
              <w:t>14.</w:t>
            </w:r>
            <w:r w:rsidR="00C95B41" w:rsidRPr="000A0BFB">
              <w:rPr>
                <w:rFonts w:ascii="Arial" w:hAnsi="Arial" w:cs="Arial"/>
              </w:rPr>
              <w:t>7</w:t>
            </w:r>
            <w:r w:rsidRPr="000A0BFB">
              <w:rPr>
                <w:rFonts w:ascii="Arial" w:hAnsi="Arial" w:cs="Arial"/>
              </w:rPr>
              <w:t>%</w:t>
            </w:r>
          </w:p>
        </w:tc>
      </w:tr>
      <w:tr w:rsidR="00B476A5" w:rsidRPr="000A0BFB" w:rsidTr="0035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B476A5" w:rsidRPr="00AC44D0" w:rsidRDefault="00B476A5" w:rsidP="00B476A5">
            <w:pPr>
              <w:rPr>
                <w:rFonts w:ascii="Arial" w:hAnsi="Arial" w:cs="Arial"/>
                <w:b w:val="0"/>
              </w:rPr>
            </w:pPr>
            <w:r w:rsidRPr="009355F5">
              <w:rPr>
                <w:rFonts w:ascii="Arial" w:hAnsi="Arial" w:cs="Arial"/>
              </w:rPr>
              <w:t>Loan from Tamil Nadu Urban Infrastructure Development Corporation (TUFIDCO)</w:t>
            </w:r>
          </w:p>
        </w:tc>
        <w:tc>
          <w:tcPr>
            <w:tcW w:w="2808" w:type="dxa"/>
          </w:tcPr>
          <w:p w:rsidR="00B476A5" w:rsidRPr="000A0BFB" w:rsidRDefault="00B476A5" w:rsidP="00815A7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A0BFB">
              <w:rPr>
                <w:rFonts w:ascii="Arial" w:hAnsi="Arial" w:cs="Arial"/>
              </w:rPr>
              <w:t>39.2%</w:t>
            </w:r>
          </w:p>
        </w:tc>
      </w:tr>
      <w:tr w:rsidR="00B476A5" w:rsidRPr="000A0BFB" w:rsidTr="00357802">
        <w:tc>
          <w:tcPr>
            <w:cnfStyle w:val="001000000000" w:firstRow="0" w:lastRow="0" w:firstColumn="1" w:lastColumn="0" w:oddVBand="0" w:evenVBand="0" w:oddHBand="0" w:evenHBand="0" w:firstRowFirstColumn="0" w:firstRowLastColumn="0" w:lastRowFirstColumn="0" w:lastRowLastColumn="0"/>
            <w:tcW w:w="6768" w:type="dxa"/>
          </w:tcPr>
          <w:p w:rsidR="00B476A5" w:rsidRPr="00AC44D0" w:rsidRDefault="00B476A5" w:rsidP="00F8479D">
            <w:pPr>
              <w:rPr>
                <w:rFonts w:ascii="Arial" w:hAnsi="Arial" w:cs="Arial"/>
                <w:b w:val="0"/>
              </w:rPr>
            </w:pPr>
            <w:r w:rsidRPr="009355F5">
              <w:rPr>
                <w:rFonts w:ascii="Arial" w:hAnsi="Arial" w:cs="Arial"/>
              </w:rPr>
              <w:t>Grant from TUFIDCO</w:t>
            </w:r>
          </w:p>
        </w:tc>
        <w:tc>
          <w:tcPr>
            <w:tcW w:w="2808" w:type="dxa"/>
          </w:tcPr>
          <w:p w:rsidR="00B476A5" w:rsidRPr="000A0BFB" w:rsidRDefault="00B476A5" w:rsidP="00815A7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A0BFB">
              <w:rPr>
                <w:rFonts w:ascii="Arial" w:hAnsi="Arial" w:cs="Arial"/>
              </w:rPr>
              <w:t>2.4%</w:t>
            </w:r>
          </w:p>
        </w:tc>
      </w:tr>
      <w:tr w:rsidR="00B476A5" w:rsidRPr="000A0BFB" w:rsidTr="0035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B476A5" w:rsidRPr="00AC44D0" w:rsidRDefault="00B476A5" w:rsidP="00F8479D">
            <w:pPr>
              <w:rPr>
                <w:rFonts w:ascii="Arial" w:hAnsi="Arial" w:cs="Arial"/>
                <w:b w:val="0"/>
              </w:rPr>
            </w:pPr>
            <w:r w:rsidRPr="009355F5">
              <w:rPr>
                <w:rFonts w:ascii="Arial" w:hAnsi="Arial" w:cs="Arial"/>
              </w:rPr>
              <w:t>Deposits from the Public</w:t>
            </w:r>
          </w:p>
        </w:tc>
        <w:tc>
          <w:tcPr>
            <w:tcW w:w="2808" w:type="dxa"/>
          </w:tcPr>
          <w:p w:rsidR="00B476A5" w:rsidRPr="000A0BFB" w:rsidRDefault="00B476A5" w:rsidP="00815A7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A0BFB">
              <w:rPr>
                <w:rFonts w:ascii="Arial" w:hAnsi="Arial" w:cs="Arial"/>
              </w:rPr>
              <w:t>30.3%</w:t>
            </w:r>
          </w:p>
        </w:tc>
      </w:tr>
      <w:tr w:rsidR="00B476A5" w:rsidRPr="000A0BFB" w:rsidTr="00357802">
        <w:tc>
          <w:tcPr>
            <w:cnfStyle w:val="001000000000" w:firstRow="0" w:lastRow="0" w:firstColumn="1" w:lastColumn="0" w:oddVBand="0" w:evenVBand="0" w:oddHBand="0" w:evenHBand="0" w:firstRowFirstColumn="0" w:firstRowLastColumn="0" w:lastRowFirstColumn="0" w:lastRowLastColumn="0"/>
            <w:tcW w:w="6768" w:type="dxa"/>
          </w:tcPr>
          <w:p w:rsidR="00B476A5" w:rsidRPr="00AC44D0" w:rsidRDefault="00B476A5" w:rsidP="00F8479D">
            <w:pPr>
              <w:rPr>
                <w:rFonts w:ascii="Arial" w:hAnsi="Arial" w:cs="Arial"/>
                <w:b w:val="0"/>
              </w:rPr>
            </w:pPr>
            <w:r w:rsidRPr="009355F5">
              <w:rPr>
                <w:rFonts w:ascii="Arial" w:hAnsi="Arial" w:cs="Arial"/>
              </w:rPr>
              <w:t>Interest from Deposits</w:t>
            </w:r>
          </w:p>
        </w:tc>
        <w:tc>
          <w:tcPr>
            <w:tcW w:w="2808" w:type="dxa"/>
          </w:tcPr>
          <w:p w:rsidR="00B476A5" w:rsidRPr="000A0BFB" w:rsidRDefault="00B476A5" w:rsidP="00815A7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A0BFB">
              <w:rPr>
                <w:rFonts w:ascii="Arial" w:hAnsi="Arial" w:cs="Arial"/>
              </w:rPr>
              <w:t>6.0%</w:t>
            </w:r>
          </w:p>
        </w:tc>
      </w:tr>
    </w:tbl>
    <w:p w:rsidR="00C95B41" w:rsidRPr="000A0BFB" w:rsidRDefault="00C95B41" w:rsidP="00F8479D">
      <w:pPr>
        <w:rPr>
          <w:rFonts w:ascii="Arial" w:hAnsi="Arial" w:cs="Arial"/>
        </w:rPr>
      </w:pPr>
    </w:p>
    <w:p w:rsidR="009B2E01" w:rsidRPr="000A0BFB" w:rsidRDefault="009B2E01" w:rsidP="00F2332A">
      <w:pPr>
        <w:jc w:val="both"/>
        <w:rPr>
          <w:rFonts w:ascii="Arial" w:hAnsi="Arial" w:cs="Arial"/>
        </w:rPr>
      </w:pPr>
      <w:r w:rsidRPr="000A0BFB">
        <w:rPr>
          <w:rFonts w:ascii="Arial" w:hAnsi="Arial" w:cs="Arial"/>
        </w:rPr>
        <w:t xml:space="preserve">To plan this complex and politically challenging project, the </w:t>
      </w:r>
      <w:r w:rsidR="00FE4277" w:rsidRPr="000A0BFB">
        <w:rPr>
          <w:rFonts w:ascii="Arial" w:hAnsi="Arial" w:cs="Arial"/>
        </w:rPr>
        <w:t xml:space="preserve">Alandur Municipality </w:t>
      </w:r>
      <w:r w:rsidRPr="000A0BFB">
        <w:rPr>
          <w:rFonts w:ascii="Arial" w:hAnsi="Arial" w:cs="Arial"/>
        </w:rPr>
        <w:t>worked in partnership with Tamil Nadu Urban Infrastructure Financial Services Limited (TNUIFSL</w:t>
      </w:r>
      <w:r w:rsidR="00FE0585" w:rsidRPr="000A0BFB">
        <w:rPr>
          <w:rFonts w:ascii="Arial" w:hAnsi="Arial" w:cs="Arial"/>
        </w:rPr>
        <w:t>)</w:t>
      </w:r>
      <w:r w:rsidR="009062FF" w:rsidRPr="000A0BFB">
        <w:rPr>
          <w:rFonts w:ascii="Arial" w:hAnsi="Arial" w:cs="Arial"/>
        </w:rPr>
        <w:t xml:space="preserve">, </w:t>
      </w:r>
      <w:r w:rsidR="00FE4277" w:rsidRPr="000A0BFB">
        <w:rPr>
          <w:rFonts w:ascii="Arial" w:hAnsi="Arial" w:cs="Arial"/>
        </w:rPr>
        <w:t xml:space="preserve">and </w:t>
      </w:r>
      <w:r w:rsidRPr="000A0BFB">
        <w:rPr>
          <w:rFonts w:ascii="Arial" w:hAnsi="Arial" w:cs="Arial"/>
        </w:rPr>
        <w:lastRenderedPageBreak/>
        <w:t>with USAID’s Financial Institution Reform and Expansion (FIRE) Project.</w:t>
      </w:r>
      <w:r w:rsidR="0058392B">
        <w:rPr>
          <w:rFonts w:ascii="Arial" w:hAnsi="Arial" w:cs="Arial"/>
        </w:rPr>
        <w:t xml:space="preserve"> </w:t>
      </w:r>
      <w:r w:rsidR="00277D49" w:rsidRPr="000A0BFB">
        <w:rPr>
          <w:rFonts w:ascii="Arial" w:hAnsi="Arial" w:cs="Arial"/>
        </w:rPr>
        <w:t>TNUIFSL, jointly owned by the Government of Tamil Nadu State and three financial institutions (ICICI Bank, Housing Development Finance Corporation and IL &amp; FS Financial Services Limited</w:t>
      </w:r>
      <w:r w:rsidR="002E3E58" w:rsidRPr="000A0BFB">
        <w:rPr>
          <w:rFonts w:ascii="Arial" w:hAnsi="Arial" w:cs="Arial"/>
        </w:rPr>
        <w:t>) is</w:t>
      </w:r>
      <w:r w:rsidR="00277D49" w:rsidRPr="000A0BFB">
        <w:rPr>
          <w:rFonts w:ascii="Arial" w:hAnsi="Arial" w:cs="Arial"/>
        </w:rPr>
        <w:t xml:space="preserve"> the Tamil Nadu state management company formed with the objective of improving urban infrastructure </w:t>
      </w:r>
      <w:r w:rsidR="00117A33">
        <w:rPr>
          <w:rFonts w:ascii="Arial" w:hAnsi="Arial" w:cs="Arial"/>
        </w:rPr>
        <w:t xml:space="preserve">service provision </w:t>
      </w:r>
      <w:r w:rsidR="00277D49" w:rsidRPr="000A0BFB">
        <w:rPr>
          <w:rFonts w:ascii="Arial" w:hAnsi="Arial" w:cs="Arial"/>
        </w:rPr>
        <w:t xml:space="preserve">in the state. TNUIFSL procured and managed a private engineering contractor to prepare the detailed technical design and prepare engineering reports for the Alandur project. The scope of work included project design, identification of the locations of pumping stations and the treatment plant, and cost estimates.to improve </w:t>
      </w:r>
      <w:r w:rsidR="00117A33">
        <w:rPr>
          <w:rFonts w:ascii="Arial" w:hAnsi="Arial" w:cs="Arial"/>
        </w:rPr>
        <w:t>access and service delivery</w:t>
      </w:r>
      <w:r w:rsidR="00804CC6" w:rsidRPr="000A0BFB">
        <w:rPr>
          <w:rFonts w:ascii="Arial" w:hAnsi="Arial" w:cs="Arial"/>
        </w:rPr>
        <w:t>.</w:t>
      </w:r>
      <w:r w:rsidR="00CF1FB8" w:rsidRPr="000A0BFB">
        <w:rPr>
          <w:rFonts w:ascii="Arial" w:hAnsi="Arial" w:cs="Arial"/>
        </w:rPr>
        <w:t xml:space="preserve"> Another source of financing was </w:t>
      </w:r>
      <w:r w:rsidR="00804CC6" w:rsidRPr="000A0BFB">
        <w:rPr>
          <w:rFonts w:ascii="Arial" w:hAnsi="Arial" w:cs="Arial"/>
        </w:rPr>
        <w:t>the Tamil Nadu Urban Infrastructure Development Corporation (</w:t>
      </w:r>
      <w:r w:rsidR="00CF1FB8" w:rsidRPr="000A0BFB">
        <w:rPr>
          <w:rFonts w:ascii="Arial" w:hAnsi="Arial" w:cs="Arial"/>
        </w:rPr>
        <w:t>TUFIDCO</w:t>
      </w:r>
      <w:r w:rsidR="00804CC6" w:rsidRPr="000A0BFB">
        <w:rPr>
          <w:rFonts w:ascii="Arial" w:hAnsi="Arial" w:cs="Arial"/>
        </w:rPr>
        <w:t>)</w:t>
      </w:r>
      <w:r w:rsidR="00CF1FB8" w:rsidRPr="000A0BFB">
        <w:rPr>
          <w:rFonts w:ascii="Arial" w:hAnsi="Arial" w:cs="Arial"/>
        </w:rPr>
        <w:t>, which is a Tamil Nadu State owned company who</w:t>
      </w:r>
      <w:r w:rsidR="00117A33">
        <w:rPr>
          <w:rFonts w:ascii="Arial" w:hAnsi="Arial" w:cs="Arial"/>
        </w:rPr>
        <w:t>se</w:t>
      </w:r>
      <w:r w:rsidR="00CF1FB8" w:rsidRPr="000A0BFB">
        <w:rPr>
          <w:rFonts w:ascii="Arial" w:hAnsi="Arial" w:cs="Arial"/>
        </w:rPr>
        <w:t xml:space="preserve"> main objective is to provide financial assistance and guidance to local authorities.</w:t>
      </w:r>
    </w:p>
    <w:p w:rsidR="00AB46FC" w:rsidRPr="000A0BFB" w:rsidRDefault="00A827CF" w:rsidP="00F2332A">
      <w:pPr>
        <w:jc w:val="both"/>
        <w:rPr>
          <w:rFonts w:ascii="Arial" w:hAnsi="Arial" w:cs="Arial"/>
        </w:rPr>
      </w:pPr>
      <w:r w:rsidRPr="000A0BFB">
        <w:rPr>
          <w:rFonts w:ascii="Arial" w:hAnsi="Arial" w:cs="Arial"/>
        </w:rPr>
        <w:t xml:space="preserve">A </w:t>
      </w:r>
      <w:r w:rsidR="00207B01" w:rsidRPr="000A0BFB">
        <w:rPr>
          <w:rFonts w:ascii="Arial" w:hAnsi="Arial" w:cs="Arial"/>
        </w:rPr>
        <w:t>‘</w:t>
      </w:r>
      <w:r w:rsidR="00917D7D" w:rsidRPr="000A0BFB">
        <w:rPr>
          <w:rFonts w:ascii="Arial" w:hAnsi="Arial" w:cs="Arial"/>
          <w:i/>
        </w:rPr>
        <w:t>willingness to pay</w:t>
      </w:r>
      <w:r w:rsidR="00207B01" w:rsidRPr="000A0BFB">
        <w:rPr>
          <w:rFonts w:ascii="Arial" w:hAnsi="Arial" w:cs="Arial"/>
          <w:i/>
        </w:rPr>
        <w:t>’</w:t>
      </w:r>
      <w:r w:rsidR="0058392B">
        <w:rPr>
          <w:rFonts w:ascii="Arial" w:hAnsi="Arial" w:cs="Arial"/>
          <w:i/>
        </w:rPr>
        <w:t xml:space="preserve"> </w:t>
      </w:r>
      <w:r w:rsidR="00207B01" w:rsidRPr="000A0BFB">
        <w:rPr>
          <w:rFonts w:ascii="Arial" w:hAnsi="Arial" w:cs="Arial"/>
        </w:rPr>
        <w:t xml:space="preserve">household </w:t>
      </w:r>
      <w:r w:rsidR="00917D7D" w:rsidRPr="000A0BFB">
        <w:rPr>
          <w:rFonts w:ascii="Arial" w:hAnsi="Arial" w:cs="Arial"/>
        </w:rPr>
        <w:t xml:space="preserve">survey </w:t>
      </w:r>
      <w:r w:rsidRPr="000A0BFB">
        <w:rPr>
          <w:rFonts w:ascii="Arial" w:hAnsi="Arial" w:cs="Arial"/>
        </w:rPr>
        <w:t xml:space="preserve">was </w:t>
      </w:r>
      <w:r w:rsidR="00207B01" w:rsidRPr="000A0BFB">
        <w:rPr>
          <w:rFonts w:ascii="Arial" w:hAnsi="Arial" w:cs="Arial"/>
        </w:rPr>
        <w:t xml:space="preserve">conducted with a 10% sample of the Alandur Municipality </w:t>
      </w:r>
      <w:r w:rsidR="00917D7D" w:rsidRPr="000A0BFB">
        <w:rPr>
          <w:rFonts w:ascii="Arial" w:hAnsi="Arial" w:cs="Arial"/>
        </w:rPr>
        <w:t>population</w:t>
      </w:r>
      <w:r w:rsidR="00207B01" w:rsidRPr="000A0BFB">
        <w:rPr>
          <w:rFonts w:ascii="Arial" w:hAnsi="Arial" w:cs="Arial"/>
        </w:rPr>
        <w:t xml:space="preserve">, representing </w:t>
      </w:r>
      <w:r w:rsidR="00917D7D" w:rsidRPr="000A0BFB">
        <w:rPr>
          <w:rFonts w:ascii="Arial" w:hAnsi="Arial" w:cs="Arial"/>
        </w:rPr>
        <w:t xml:space="preserve">42 wards. </w:t>
      </w:r>
      <w:r w:rsidR="00207B01" w:rsidRPr="000A0BFB">
        <w:rPr>
          <w:rFonts w:ascii="Arial" w:hAnsi="Arial" w:cs="Arial"/>
        </w:rPr>
        <w:t>About 97%</w:t>
      </w:r>
      <w:r w:rsidR="00917D7D" w:rsidRPr="000A0BFB">
        <w:rPr>
          <w:rFonts w:ascii="Arial" w:hAnsi="Arial" w:cs="Arial"/>
        </w:rPr>
        <w:t xml:space="preserve">of the </w:t>
      </w:r>
      <w:r w:rsidR="00207B01" w:rsidRPr="000A0BFB">
        <w:rPr>
          <w:rFonts w:ascii="Arial" w:hAnsi="Arial" w:cs="Arial"/>
        </w:rPr>
        <w:t xml:space="preserve">surveyed </w:t>
      </w:r>
      <w:r w:rsidRPr="000A0BFB">
        <w:rPr>
          <w:rFonts w:ascii="Arial" w:hAnsi="Arial" w:cs="Arial"/>
        </w:rPr>
        <w:t xml:space="preserve">households indicated </w:t>
      </w:r>
      <w:r w:rsidR="00207B01" w:rsidRPr="000A0BFB">
        <w:rPr>
          <w:rFonts w:ascii="Arial" w:hAnsi="Arial" w:cs="Arial"/>
        </w:rPr>
        <w:t xml:space="preserve">both an interest in having </w:t>
      </w:r>
      <w:r w:rsidRPr="000A0BFB">
        <w:rPr>
          <w:rFonts w:ascii="Arial" w:hAnsi="Arial" w:cs="Arial"/>
        </w:rPr>
        <w:t xml:space="preserve">a </w:t>
      </w:r>
      <w:r w:rsidR="00917D7D" w:rsidRPr="000A0BFB">
        <w:rPr>
          <w:rFonts w:ascii="Arial" w:hAnsi="Arial" w:cs="Arial"/>
        </w:rPr>
        <w:t>sewer</w:t>
      </w:r>
      <w:r w:rsidRPr="000A0BFB">
        <w:rPr>
          <w:rFonts w:ascii="Arial" w:hAnsi="Arial" w:cs="Arial"/>
        </w:rPr>
        <w:t>age</w:t>
      </w:r>
      <w:r w:rsidR="00207B01" w:rsidRPr="000A0BFB">
        <w:rPr>
          <w:rFonts w:ascii="Arial" w:hAnsi="Arial" w:cs="Arial"/>
        </w:rPr>
        <w:t xml:space="preserve"> connection</w:t>
      </w:r>
      <w:r w:rsidR="00917D7D" w:rsidRPr="000A0BFB">
        <w:rPr>
          <w:rFonts w:ascii="Arial" w:hAnsi="Arial" w:cs="Arial"/>
        </w:rPr>
        <w:t xml:space="preserve"> and </w:t>
      </w:r>
      <w:r w:rsidR="00207B01" w:rsidRPr="000A0BFB">
        <w:rPr>
          <w:rFonts w:ascii="Arial" w:hAnsi="Arial" w:cs="Arial"/>
        </w:rPr>
        <w:t>a willingness to pay an amount similar to that of water supply</w:t>
      </w:r>
      <w:r w:rsidR="00917D7D" w:rsidRPr="000A0BFB">
        <w:rPr>
          <w:rFonts w:ascii="Arial" w:hAnsi="Arial" w:cs="Arial"/>
        </w:rPr>
        <w:t xml:space="preserve">: </w:t>
      </w:r>
      <w:r w:rsidR="00CA31E3" w:rsidRPr="000A0BFB">
        <w:rPr>
          <w:rFonts w:ascii="Arial" w:hAnsi="Arial" w:cs="Arial"/>
        </w:rPr>
        <w:t xml:space="preserve">up to </w:t>
      </w:r>
      <w:r w:rsidR="008B2F79" w:rsidRPr="000A0BFB">
        <w:rPr>
          <w:rFonts w:ascii="Arial" w:hAnsi="Arial" w:cs="Arial"/>
        </w:rPr>
        <w:t>$33</w:t>
      </w:r>
      <w:r w:rsidR="003F486F">
        <w:rPr>
          <w:rFonts w:ascii="Arial" w:hAnsi="Arial" w:cs="Arial"/>
        </w:rPr>
        <w:t xml:space="preserve"> (equivalent)</w:t>
      </w:r>
      <w:r w:rsidR="00917D7D" w:rsidRPr="000A0BFB">
        <w:rPr>
          <w:rFonts w:ascii="Arial" w:hAnsi="Arial" w:cs="Arial"/>
        </w:rPr>
        <w:t>for connection</w:t>
      </w:r>
      <w:r w:rsidR="00CA31E3" w:rsidRPr="000A0BFB">
        <w:rPr>
          <w:rFonts w:ascii="Arial" w:hAnsi="Arial" w:cs="Arial"/>
        </w:rPr>
        <w:t xml:space="preserve"> and </w:t>
      </w:r>
      <w:r w:rsidR="008B2F79" w:rsidRPr="000A0BFB">
        <w:rPr>
          <w:rFonts w:ascii="Arial" w:hAnsi="Arial" w:cs="Arial"/>
        </w:rPr>
        <w:t>$.34 to $.82</w:t>
      </w:r>
      <w:r w:rsidR="00917D7D" w:rsidRPr="000A0BFB">
        <w:rPr>
          <w:rFonts w:ascii="Arial" w:hAnsi="Arial" w:cs="Arial"/>
        </w:rPr>
        <w:t xml:space="preserve"> per month </w:t>
      </w:r>
      <w:r w:rsidR="00CA31E3" w:rsidRPr="000A0BFB">
        <w:rPr>
          <w:rFonts w:ascii="Arial" w:hAnsi="Arial" w:cs="Arial"/>
        </w:rPr>
        <w:t>for service</w:t>
      </w:r>
      <w:r w:rsidR="00917D7D" w:rsidRPr="000A0BFB">
        <w:rPr>
          <w:rFonts w:ascii="Arial" w:hAnsi="Arial" w:cs="Arial"/>
        </w:rPr>
        <w:t>.</w:t>
      </w:r>
      <w:r w:rsidR="00917D7D" w:rsidRPr="000A0BFB">
        <w:rPr>
          <w:rStyle w:val="FootnoteReference"/>
          <w:rFonts w:ascii="Arial" w:hAnsi="Arial" w:cs="Arial"/>
        </w:rPr>
        <w:footnoteReference w:id="4"/>
      </w:r>
      <w:r w:rsidR="00207B01" w:rsidRPr="000A0BFB">
        <w:rPr>
          <w:rFonts w:ascii="Arial" w:hAnsi="Arial" w:cs="Arial"/>
        </w:rPr>
        <w:t xml:space="preserve"> This represents a fairly high willingness to pay for the upfront connection given the average monthly household income, which ranges from </w:t>
      </w:r>
      <w:r w:rsidR="007458E1" w:rsidRPr="000A0BFB">
        <w:rPr>
          <w:rFonts w:ascii="Arial" w:hAnsi="Arial" w:cs="Arial"/>
        </w:rPr>
        <w:t>$</w:t>
      </w:r>
      <w:r w:rsidR="003965E7" w:rsidRPr="000A0BFB">
        <w:rPr>
          <w:rFonts w:ascii="Arial" w:hAnsi="Arial" w:cs="Arial"/>
        </w:rPr>
        <w:t>16</w:t>
      </w:r>
      <w:r w:rsidR="00207B01" w:rsidRPr="000A0BFB">
        <w:rPr>
          <w:rFonts w:ascii="Arial" w:hAnsi="Arial" w:cs="Arial"/>
        </w:rPr>
        <w:t xml:space="preserve"> to </w:t>
      </w:r>
      <w:r w:rsidR="007458E1" w:rsidRPr="000A0BFB">
        <w:rPr>
          <w:rFonts w:ascii="Arial" w:hAnsi="Arial" w:cs="Arial"/>
        </w:rPr>
        <w:t>$</w:t>
      </w:r>
      <w:r w:rsidR="003965E7" w:rsidRPr="000A0BFB">
        <w:rPr>
          <w:rFonts w:ascii="Arial" w:hAnsi="Arial" w:cs="Arial"/>
        </w:rPr>
        <w:t>81</w:t>
      </w:r>
      <w:r w:rsidR="0049685D" w:rsidRPr="000A0BFB">
        <w:rPr>
          <w:rFonts w:ascii="Arial" w:hAnsi="Arial" w:cs="Arial"/>
        </w:rPr>
        <w:t>.</w:t>
      </w:r>
    </w:p>
    <w:p w:rsidR="00CD1D20" w:rsidRPr="000A0BFB" w:rsidRDefault="00CD1D20" w:rsidP="00F8479D">
      <w:pPr>
        <w:rPr>
          <w:rFonts w:ascii="Arial" w:hAnsi="Arial" w:cs="Arial"/>
          <w:b/>
        </w:rPr>
      </w:pPr>
      <w:r w:rsidRPr="000A0BFB">
        <w:rPr>
          <w:rFonts w:ascii="Arial" w:hAnsi="Arial" w:cs="Arial"/>
          <w:b/>
        </w:rPr>
        <w:t>Noteworthy Outcomes</w:t>
      </w:r>
    </w:p>
    <w:p w:rsidR="009B2E01" w:rsidRPr="000A0BFB" w:rsidRDefault="00AD010D" w:rsidP="00F2332A">
      <w:pPr>
        <w:jc w:val="both"/>
        <w:rPr>
          <w:rFonts w:ascii="Arial" w:hAnsi="Arial" w:cs="Arial"/>
        </w:rPr>
      </w:pPr>
      <w:r w:rsidRPr="000A0BFB">
        <w:rPr>
          <w:rFonts w:ascii="Arial" w:hAnsi="Arial" w:cs="Arial"/>
        </w:rPr>
        <w:t>By 2005</w:t>
      </w:r>
      <w:r w:rsidR="00CF1138" w:rsidRPr="000A0BFB">
        <w:rPr>
          <w:rFonts w:ascii="Arial" w:hAnsi="Arial" w:cs="Arial"/>
        </w:rPr>
        <w:t>,</w:t>
      </w:r>
      <w:r w:rsidRPr="000A0BFB">
        <w:rPr>
          <w:rFonts w:ascii="Arial" w:hAnsi="Arial" w:cs="Arial"/>
        </w:rPr>
        <w:t xml:space="preserve"> 43% of residents who were offered the new sewerage connection and waste service opted in and paid for their individual connections. In this first phase 23,000 households paid for the service, while 8,350 households were connected. </w:t>
      </w:r>
      <w:r w:rsidR="009B2E01" w:rsidRPr="000A0BFB">
        <w:rPr>
          <w:rFonts w:ascii="Arial" w:hAnsi="Arial" w:cs="Arial"/>
        </w:rPr>
        <w:t xml:space="preserve">By 2010, 30,600 households </w:t>
      </w:r>
      <w:r w:rsidRPr="000A0BFB">
        <w:rPr>
          <w:rFonts w:ascii="Arial" w:hAnsi="Arial" w:cs="Arial"/>
        </w:rPr>
        <w:t xml:space="preserve">had </w:t>
      </w:r>
      <w:r w:rsidR="009B2E01" w:rsidRPr="000A0BFB">
        <w:rPr>
          <w:rFonts w:ascii="Arial" w:hAnsi="Arial" w:cs="Arial"/>
        </w:rPr>
        <w:t>paid for the service,</w:t>
      </w:r>
      <w:r w:rsidRPr="000A0BFB">
        <w:rPr>
          <w:rFonts w:ascii="Arial" w:hAnsi="Arial" w:cs="Arial"/>
        </w:rPr>
        <w:t xml:space="preserve"> while</w:t>
      </w:r>
      <w:r w:rsidR="009B2E01" w:rsidRPr="000A0BFB">
        <w:rPr>
          <w:rFonts w:ascii="Arial" w:hAnsi="Arial" w:cs="Arial"/>
        </w:rPr>
        <w:t xml:space="preserve"> 29,300 households </w:t>
      </w:r>
      <w:r w:rsidR="00A00EEE" w:rsidRPr="000A0BFB">
        <w:rPr>
          <w:rFonts w:ascii="Arial" w:hAnsi="Arial" w:cs="Arial"/>
        </w:rPr>
        <w:t xml:space="preserve">had been </w:t>
      </w:r>
      <w:r w:rsidR="009B2E01" w:rsidRPr="000A0BFB">
        <w:rPr>
          <w:rFonts w:ascii="Arial" w:hAnsi="Arial" w:cs="Arial"/>
        </w:rPr>
        <w:t>connected</w:t>
      </w:r>
      <w:r w:rsidR="0058392B">
        <w:rPr>
          <w:rFonts w:ascii="Arial" w:hAnsi="Arial" w:cs="Arial"/>
        </w:rPr>
        <w:t xml:space="preserve">. </w:t>
      </w:r>
      <w:r w:rsidRPr="000A0BFB">
        <w:rPr>
          <w:rFonts w:ascii="Arial" w:hAnsi="Arial" w:cs="Arial"/>
        </w:rPr>
        <w:t xml:space="preserve">In spite of the slight lag between payments and connections, the first phase of the project was considered a success.  </w:t>
      </w:r>
      <w:r w:rsidR="00A97C1D" w:rsidRPr="000A0BFB">
        <w:rPr>
          <w:rFonts w:ascii="Arial" w:hAnsi="Arial" w:cs="Arial"/>
        </w:rPr>
        <w:t>It should be noted, however, that about half of the households in the city are still not connected to the network. These households continue to discharge their wastewater into open drains.</w:t>
      </w:r>
    </w:p>
    <w:p w:rsidR="00AC496D" w:rsidRPr="000A0BFB" w:rsidRDefault="00EE095A" w:rsidP="00F2332A">
      <w:pPr>
        <w:jc w:val="both"/>
        <w:rPr>
          <w:rFonts w:ascii="Arial" w:hAnsi="Arial" w:cs="Arial"/>
          <w:b/>
        </w:rPr>
      </w:pPr>
      <w:r>
        <w:rPr>
          <w:rFonts w:ascii="Arial" w:hAnsi="Arial" w:cs="Arial"/>
          <w:b/>
        </w:rPr>
        <w:t>Key</w:t>
      </w:r>
      <w:r w:rsidR="0058392B">
        <w:rPr>
          <w:rFonts w:ascii="Arial" w:hAnsi="Arial" w:cs="Arial"/>
          <w:b/>
        </w:rPr>
        <w:t xml:space="preserve"> </w:t>
      </w:r>
      <w:r w:rsidR="002F4EDE">
        <w:rPr>
          <w:rFonts w:ascii="Arial" w:hAnsi="Arial" w:cs="Arial"/>
          <w:b/>
        </w:rPr>
        <w:t xml:space="preserve">Success </w:t>
      </w:r>
      <w:r w:rsidR="00883F14" w:rsidRPr="000A0BFB">
        <w:rPr>
          <w:rFonts w:ascii="Arial" w:hAnsi="Arial" w:cs="Arial"/>
          <w:b/>
        </w:rPr>
        <w:t xml:space="preserve">Factors </w:t>
      </w:r>
    </w:p>
    <w:p w:rsidR="00997AEB" w:rsidRPr="00DB0A27" w:rsidRDefault="00EF7F35" w:rsidP="00997AEB">
      <w:pPr>
        <w:rPr>
          <w:rFonts w:ascii="Arial" w:hAnsi="Arial" w:cs="Arial"/>
        </w:rPr>
      </w:pPr>
      <w:r>
        <w:rPr>
          <w:rFonts w:ascii="Arial" w:hAnsi="Arial" w:cs="Arial"/>
          <w:b/>
          <w:i/>
        </w:rPr>
        <w:t>Stakeholder Participation</w:t>
      </w:r>
      <w:r w:rsidR="00997AEB" w:rsidRPr="00DB0A27">
        <w:rPr>
          <w:rFonts w:ascii="Arial" w:hAnsi="Arial" w:cs="Arial"/>
          <w:b/>
          <w:i/>
        </w:rPr>
        <w:t>:</w:t>
      </w:r>
      <w:r w:rsidR="0058392B">
        <w:rPr>
          <w:rFonts w:ascii="Arial" w:hAnsi="Arial" w:cs="Arial"/>
          <w:b/>
          <w:i/>
        </w:rPr>
        <w:t xml:space="preserve"> </w:t>
      </w:r>
      <w:r w:rsidR="00997AEB" w:rsidRPr="00C34190">
        <w:rPr>
          <w:rFonts w:ascii="Arial" w:hAnsi="Arial" w:cs="Arial"/>
        </w:rPr>
        <w:t xml:space="preserve">The chairman and council of the municipality provided political </w:t>
      </w:r>
      <w:r w:rsidR="00997AEB">
        <w:rPr>
          <w:rFonts w:ascii="Arial" w:hAnsi="Arial" w:cs="Arial"/>
        </w:rPr>
        <w:t xml:space="preserve">cover </w:t>
      </w:r>
      <w:r w:rsidR="00997AEB" w:rsidRPr="00C34190">
        <w:rPr>
          <w:rFonts w:ascii="Arial" w:hAnsi="Arial" w:cs="Arial"/>
        </w:rPr>
        <w:t xml:space="preserve">and strong advocacy for the </w:t>
      </w:r>
      <w:r w:rsidR="00997AEB">
        <w:rPr>
          <w:rFonts w:ascii="Arial" w:hAnsi="Arial" w:cs="Arial"/>
        </w:rPr>
        <w:t>ASP project</w:t>
      </w:r>
      <w:r w:rsidR="00997AEB" w:rsidRPr="00C34190">
        <w:rPr>
          <w:rFonts w:ascii="Arial" w:hAnsi="Arial" w:cs="Arial"/>
        </w:rPr>
        <w:t xml:space="preserve">, </w:t>
      </w:r>
      <w:r w:rsidR="00997AEB">
        <w:rPr>
          <w:rFonts w:ascii="Arial" w:hAnsi="Arial" w:cs="Arial"/>
        </w:rPr>
        <w:t>as did the very popular he</w:t>
      </w:r>
      <w:r w:rsidR="00997AEB" w:rsidRPr="00C34190">
        <w:rPr>
          <w:rFonts w:ascii="Arial" w:hAnsi="Arial" w:cs="Arial"/>
        </w:rPr>
        <w:t>ad of the community</w:t>
      </w:r>
      <w:r w:rsidR="00997AEB">
        <w:rPr>
          <w:rFonts w:ascii="Arial" w:hAnsi="Arial" w:cs="Arial"/>
        </w:rPr>
        <w:t>,</w:t>
      </w:r>
      <w:r w:rsidR="0058392B">
        <w:rPr>
          <w:rFonts w:ascii="Arial" w:hAnsi="Arial" w:cs="Arial"/>
        </w:rPr>
        <w:t xml:space="preserve"> </w:t>
      </w:r>
      <w:r w:rsidR="00997AEB">
        <w:rPr>
          <w:rFonts w:ascii="Arial" w:hAnsi="Arial" w:cs="Arial"/>
        </w:rPr>
        <w:t>who was</w:t>
      </w:r>
      <w:r w:rsidR="0058392B">
        <w:rPr>
          <w:rFonts w:ascii="Arial" w:hAnsi="Arial" w:cs="Arial"/>
        </w:rPr>
        <w:t xml:space="preserve"> </w:t>
      </w:r>
      <w:r w:rsidR="00997AEB">
        <w:rPr>
          <w:rFonts w:ascii="Arial" w:hAnsi="Arial" w:cs="Arial"/>
        </w:rPr>
        <w:t xml:space="preserve">also </w:t>
      </w:r>
      <w:r w:rsidR="00997AEB" w:rsidRPr="00C34190">
        <w:rPr>
          <w:rFonts w:ascii="Arial" w:hAnsi="Arial" w:cs="Arial"/>
        </w:rPr>
        <w:t xml:space="preserve">interested in </w:t>
      </w:r>
      <w:r w:rsidR="00997AEB">
        <w:rPr>
          <w:rFonts w:ascii="Arial" w:hAnsi="Arial" w:cs="Arial"/>
        </w:rPr>
        <w:t xml:space="preserve">seeing ASP succeed. With the benefit of </w:t>
      </w:r>
      <w:r w:rsidR="00997AEB" w:rsidRPr="00C34190">
        <w:rPr>
          <w:rFonts w:ascii="Arial" w:hAnsi="Arial" w:cs="Arial"/>
        </w:rPr>
        <w:t>strong political will and decision making, especially at the grass-root level</w:t>
      </w:r>
      <w:r w:rsidR="00997AEB">
        <w:rPr>
          <w:rFonts w:ascii="Arial" w:hAnsi="Arial" w:cs="Arial"/>
        </w:rPr>
        <w:t xml:space="preserve">, </w:t>
      </w:r>
      <w:r w:rsidR="00997AEB" w:rsidRPr="00C34190">
        <w:rPr>
          <w:rFonts w:ascii="Arial" w:hAnsi="Arial" w:cs="Arial"/>
        </w:rPr>
        <w:t xml:space="preserve">persuading the local community </w:t>
      </w:r>
      <w:r w:rsidR="00997AEB">
        <w:rPr>
          <w:rFonts w:ascii="Arial" w:hAnsi="Arial" w:cs="Arial"/>
        </w:rPr>
        <w:t>t</w:t>
      </w:r>
      <w:r w:rsidR="00997AEB" w:rsidRPr="00C34190">
        <w:rPr>
          <w:rFonts w:ascii="Arial" w:hAnsi="Arial" w:cs="Arial"/>
        </w:rPr>
        <w:t xml:space="preserve">o support the project was not an issue. </w:t>
      </w:r>
      <w:r w:rsidR="00997AEB">
        <w:rPr>
          <w:rFonts w:ascii="Arial" w:hAnsi="Arial" w:cs="Arial"/>
        </w:rPr>
        <w:t xml:space="preserve">ACP enjoyed </w:t>
      </w:r>
      <w:r w:rsidR="00997AEB" w:rsidRPr="00DB0A27">
        <w:rPr>
          <w:rFonts w:ascii="Arial" w:hAnsi="Arial" w:cs="Arial"/>
        </w:rPr>
        <w:t>a high level of local community ownership given that the initial need had been identified by th</w:t>
      </w:r>
      <w:r w:rsidR="00997AEB">
        <w:rPr>
          <w:rFonts w:ascii="Arial" w:hAnsi="Arial" w:cs="Arial"/>
        </w:rPr>
        <w:t>e community and local authority.</w:t>
      </w:r>
      <w:r w:rsidR="00997AEB" w:rsidRPr="00DB0A27">
        <w:rPr>
          <w:rFonts w:ascii="Arial" w:hAnsi="Arial" w:cs="Arial"/>
        </w:rPr>
        <w:t xml:space="preserve"> Overall, the community ensured that their key objectives were met: an improvement in the health and hygiene of the area and its residents, including poor residents living in the more unhygienic conditions. </w:t>
      </w:r>
    </w:p>
    <w:p w:rsidR="00997AEB" w:rsidRPr="00DB0A27" w:rsidRDefault="00EF7F35" w:rsidP="00997AEB">
      <w:pPr>
        <w:rPr>
          <w:rFonts w:ascii="Arial" w:hAnsi="Arial" w:cs="Arial"/>
          <w:b/>
        </w:rPr>
      </w:pPr>
      <w:r>
        <w:rPr>
          <w:rFonts w:ascii="Arial" w:hAnsi="Arial" w:cs="Arial"/>
          <w:b/>
          <w:i/>
        </w:rPr>
        <w:t>Appropriate Project Structuring</w:t>
      </w:r>
      <w:r w:rsidR="00997AEB" w:rsidRPr="00DB0A27">
        <w:rPr>
          <w:rFonts w:ascii="Arial" w:hAnsi="Arial" w:cs="Arial"/>
          <w:b/>
          <w:i/>
        </w:rPr>
        <w:t>:</w:t>
      </w:r>
      <w:r w:rsidR="0058392B">
        <w:rPr>
          <w:rFonts w:ascii="Arial" w:hAnsi="Arial" w:cs="Arial"/>
          <w:b/>
          <w:i/>
        </w:rPr>
        <w:t xml:space="preserve"> </w:t>
      </w:r>
      <w:r w:rsidR="00997AEB" w:rsidRPr="00DB0A27">
        <w:rPr>
          <w:rFonts w:ascii="Arial" w:hAnsi="Arial" w:cs="Arial"/>
        </w:rPr>
        <w:t>Despite the results of the tariff survey, which indicated that public willingness to pay was far below the tariff requirement to meet the capital and operational cost of the project, the municipal council, through its proactive public outreach measures, managed to establish reasonable residential fees for connection and monthly waste services. The municipality also managed to collect the upfront connection fees quickly enough to pre-empt the need for the TNUIFSL loan.</w:t>
      </w:r>
      <w:r w:rsidR="00997AEB" w:rsidRPr="00DB0A27">
        <w:rPr>
          <w:rStyle w:val="FootnoteReference"/>
          <w:rFonts w:ascii="Arial" w:hAnsi="Arial" w:cs="Arial"/>
        </w:rPr>
        <w:footnoteReference w:id="5"/>
      </w:r>
    </w:p>
    <w:p w:rsidR="00A510AC" w:rsidRPr="00DB0A27" w:rsidRDefault="00A510AC" w:rsidP="00A510AC">
      <w:pPr>
        <w:rPr>
          <w:rFonts w:ascii="Arial" w:hAnsi="Arial" w:cs="Arial"/>
          <w:strike/>
        </w:rPr>
      </w:pPr>
      <w:r w:rsidRPr="00DB0A27">
        <w:rPr>
          <w:rFonts w:ascii="Arial" w:hAnsi="Arial" w:cs="Arial"/>
        </w:rPr>
        <w:lastRenderedPageBreak/>
        <w:t>An</w:t>
      </w:r>
      <w:r>
        <w:rPr>
          <w:rFonts w:ascii="Arial" w:hAnsi="Arial" w:cs="Arial"/>
        </w:rPr>
        <w:t>other</w:t>
      </w:r>
      <w:r w:rsidRPr="00DB0A27">
        <w:rPr>
          <w:rFonts w:ascii="Arial" w:hAnsi="Arial" w:cs="Arial"/>
        </w:rPr>
        <w:t xml:space="preserve"> important success factor for ASP was the municipality’s access to financing and subsidies from the Government and other entities, established specifically to meet the credit needs of the un</w:t>
      </w:r>
      <w:r>
        <w:rPr>
          <w:rFonts w:ascii="Arial" w:hAnsi="Arial" w:cs="Arial"/>
        </w:rPr>
        <w:t>-</w:t>
      </w:r>
      <w:r w:rsidRPr="00DB0A27">
        <w:rPr>
          <w:rFonts w:ascii="Arial" w:hAnsi="Arial" w:cs="Arial"/>
        </w:rPr>
        <w:t xml:space="preserve">creditworthy municipalities without access to private capital. </w:t>
      </w:r>
      <w:r>
        <w:rPr>
          <w:rFonts w:ascii="Arial" w:hAnsi="Arial" w:cs="Arial"/>
        </w:rPr>
        <w:t>Based on the willingness to pay survey, the Government agreed to provide subsidy support to meet the operational costs up to $49 per person per month</w:t>
      </w:r>
      <w:r>
        <w:rPr>
          <w:rStyle w:val="FootnoteReference"/>
          <w:rFonts w:ascii="Arial" w:hAnsi="Arial" w:cs="Arial"/>
        </w:rPr>
        <w:footnoteReference w:id="6"/>
      </w:r>
      <w:r>
        <w:rPr>
          <w:rFonts w:ascii="Arial" w:hAnsi="Arial" w:cs="Arial"/>
        </w:rPr>
        <w:t xml:space="preserve">. </w:t>
      </w:r>
      <w:r w:rsidRPr="00DB0A27">
        <w:rPr>
          <w:rFonts w:ascii="Arial" w:hAnsi="Arial" w:cs="Arial"/>
        </w:rPr>
        <w:t xml:space="preserve">The municipality accepted the high level of fiscal discipline imposed by the strict conditions of the public lenders, TNUIFSL and TUFIDCO. An escrow account was created as an assurance to lenders. In addition to public funding, the collection of household connection fees before project construction contributed to CAPEX. The Government of Tamil Naidu provided a </w:t>
      </w:r>
      <w:r>
        <w:rPr>
          <w:rFonts w:ascii="Arial" w:hAnsi="Arial" w:cs="Arial"/>
        </w:rPr>
        <w:t xml:space="preserve">loan </w:t>
      </w:r>
      <w:r w:rsidRPr="00DB0A27">
        <w:rPr>
          <w:rFonts w:ascii="Arial" w:hAnsi="Arial" w:cs="Arial"/>
        </w:rPr>
        <w:t>guarantee</w:t>
      </w:r>
      <w:r>
        <w:rPr>
          <w:rFonts w:ascii="Arial" w:hAnsi="Arial" w:cs="Arial"/>
        </w:rPr>
        <w:t xml:space="preserve"> that required any payment made to the utilities on account of a default by the municipality to be recovered from the annual transfer of payments from the municipality to the state government</w:t>
      </w:r>
      <w:r>
        <w:rPr>
          <w:rStyle w:val="FootnoteReference"/>
          <w:rFonts w:ascii="Arial" w:hAnsi="Arial" w:cs="Arial"/>
        </w:rPr>
        <w:footnoteReference w:id="7"/>
      </w:r>
      <w:r w:rsidRPr="00DB0A27">
        <w:rPr>
          <w:rFonts w:ascii="Arial" w:hAnsi="Arial" w:cs="Arial"/>
        </w:rPr>
        <w:t>.</w:t>
      </w:r>
      <w:r w:rsidRPr="005B2A25">
        <w:rPr>
          <w:rFonts w:ascii="Arial" w:hAnsi="Arial" w:cs="Arial"/>
        </w:rPr>
        <w:t>The project also benefited from the state-wide trend of municipal finance reforms.</w:t>
      </w:r>
    </w:p>
    <w:p w:rsidR="005F5D88" w:rsidRPr="00DB0A27" w:rsidRDefault="005F5D88" w:rsidP="005F5D88">
      <w:pPr>
        <w:rPr>
          <w:rFonts w:ascii="Arial" w:hAnsi="Arial" w:cs="Arial"/>
        </w:rPr>
      </w:pPr>
      <w:r w:rsidRPr="00DB0A27">
        <w:rPr>
          <w:rFonts w:ascii="Arial" w:hAnsi="Arial" w:cs="Arial"/>
        </w:rPr>
        <w:t>In addition to pursuing project financing, several efforts were made to fortify the venture’s financial sustainability and reduce financial risk for private partners. For example, a</w:t>
      </w:r>
      <w:r>
        <w:rPr>
          <w:rFonts w:ascii="Arial" w:hAnsi="Arial" w:cs="Arial"/>
        </w:rPr>
        <w:t xml:space="preserve"> Special Purpose Vehicle(</w:t>
      </w:r>
      <w:r w:rsidRPr="00DB0A27">
        <w:rPr>
          <w:rFonts w:ascii="Arial" w:hAnsi="Arial" w:cs="Arial"/>
        </w:rPr>
        <w:t>SPV</w:t>
      </w:r>
      <w:r>
        <w:rPr>
          <w:rFonts w:ascii="Arial" w:hAnsi="Arial" w:cs="Arial"/>
        </w:rPr>
        <w:t>)</w:t>
      </w:r>
      <w:r w:rsidRPr="00DB0A27">
        <w:rPr>
          <w:rFonts w:ascii="Arial" w:hAnsi="Arial" w:cs="Arial"/>
        </w:rPr>
        <w:t xml:space="preserve"> was formed </w:t>
      </w:r>
      <w:r>
        <w:rPr>
          <w:rFonts w:ascii="Arial" w:hAnsi="Arial" w:cs="Arial"/>
        </w:rPr>
        <w:t>to undertake the water supply and sewerage scheme on a build-operate-transfer basis</w:t>
      </w:r>
      <w:r>
        <w:rPr>
          <w:rStyle w:val="FootnoteReference"/>
          <w:rFonts w:ascii="Arial" w:hAnsi="Arial" w:cs="Arial"/>
        </w:rPr>
        <w:footnoteReference w:id="8"/>
      </w:r>
      <w:r w:rsidRPr="00DB0A27">
        <w:rPr>
          <w:rFonts w:ascii="Arial" w:hAnsi="Arial" w:cs="Arial"/>
        </w:rPr>
        <w:t xml:space="preserve">. </w:t>
      </w:r>
      <w:r>
        <w:rPr>
          <w:rFonts w:ascii="Arial" w:hAnsi="Arial" w:cs="Arial"/>
        </w:rPr>
        <w:t xml:space="preserve">The project was designed to procure finances through a financing structure where the lenders and investors were paid back with the cash flow from the project. </w:t>
      </w:r>
      <w:r w:rsidRPr="00DB0A27">
        <w:rPr>
          <w:rFonts w:ascii="Arial" w:hAnsi="Arial" w:cs="Arial"/>
        </w:rPr>
        <w:t xml:space="preserve">Another assurance made to the private BOT operator was an agreement from the municipality to provide a minimum </w:t>
      </w:r>
      <w:r>
        <w:rPr>
          <w:rFonts w:ascii="Arial" w:hAnsi="Arial" w:cs="Arial"/>
        </w:rPr>
        <w:t>amount</w:t>
      </w:r>
      <w:r w:rsidRPr="00DB0A27">
        <w:rPr>
          <w:rFonts w:ascii="Arial" w:hAnsi="Arial" w:cs="Arial"/>
        </w:rPr>
        <w:t xml:space="preserve"> of </w:t>
      </w:r>
      <w:r>
        <w:rPr>
          <w:rFonts w:ascii="Arial" w:hAnsi="Arial" w:cs="Arial"/>
        </w:rPr>
        <w:t>sewerage or pay for it,</w:t>
      </w:r>
      <w:r w:rsidRPr="00DB0A27">
        <w:rPr>
          <w:rFonts w:ascii="Arial" w:hAnsi="Arial" w:cs="Arial"/>
        </w:rPr>
        <w:t xml:space="preserve"> by accepting the ‘take or pay’ condition in the agreement. </w:t>
      </w:r>
      <w:r>
        <w:rPr>
          <w:rFonts w:ascii="Arial" w:hAnsi="Arial" w:cs="Arial"/>
        </w:rPr>
        <w:t xml:space="preserve">Treatment of sewerage above the minimum amount was paid in addition. </w:t>
      </w:r>
    </w:p>
    <w:p w:rsidR="00997AEB" w:rsidRPr="00DB0A27" w:rsidRDefault="00997AEB" w:rsidP="00997AEB">
      <w:pPr>
        <w:rPr>
          <w:rFonts w:ascii="Arial" w:hAnsi="Arial" w:cs="Arial"/>
        </w:rPr>
      </w:pPr>
      <w:r w:rsidRPr="00DB0A27">
        <w:rPr>
          <w:rFonts w:ascii="Arial" w:hAnsi="Arial" w:cs="Arial"/>
        </w:rPr>
        <w:t xml:space="preserve">To incentivize household connection, the municipal government collaborated with banks to facilitate household loan assistance at affordable interest rates. No specific exemptions or support were </w:t>
      </w:r>
      <w:r>
        <w:rPr>
          <w:rFonts w:ascii="Arial" w:hAnsi="Arial" w:cs="Arial"/>
        </w:rPr>
        <w:t xml:space="preserve">targeted at </w:t>
      </w:r>
      <w:r w:rsidRPr="00DB0A27">
        <w:rPr>
          <w:rFonts w:ascii="Arial" w:hAnsi="Arial" w:cs="Arial"/>
        </w:rPr>
        <w:t>the lowest-income households</w:t>
      </w:r>
      <w:r>
        <w:rPr>
          <w:rFonts w:ascii="Arial" w:hAnsi="Arial" w:cs="Arial"/>
        </w:rPr>
        <w:t xml:space="preserve"> in particular</w:t>
      </w:r>
      <w:r w:rsidRPr="00DB0A27">
        <w:rPr>
          <w:rFonts w:ascii="Arial" w:hAnsi="Arial" w:cs="Arial"/>
        </w:rPr>
        <w:t xml:space="preserve">, but rather affordable loans were made accessible to all.  In addition to loans, residents were given the option to pay the connection fees in two or three installments. </w:t>
      </w:r>
    </w:p>
    <w:p w:rsidR="00997AEB" w:rsidRDefault="00997AEB" w:rsidP="00997AEB">
      <w:pPr>
        <w:rPr>
          <w:rFonts w:ascii="Arial" w:hAnsi="Arial" w:cs="Arial"/>
        </w:rPr>
      </w:pPr>
      <w:r w:rsidRPr="00DB0A27">
        <w:rPr>
          <w:rFonts w:ascii="Arial" w:hAnsi="Arial" w:cs="Arial"/>
          <w:b/>
          <w:i/>
        </w:rPr>
        <w:t xml:space="preserve">Stakeholder </w:t>
      </w:r>
      <w:r w:rsidR="00A60AE1">
        <w:rPr>
          <w:rFonts w:ascii="Arial" w:hAnsi="Arial" w:cs="Arial"/>
          <w:b/>
          <w:i/>
        </w:rPr>
        <w:t>Participation and</w:t>
      </w:r>
      <w:r w:rsidR="00220DCD">
        <w:rPr>
          <w:rFonts w:ascii="Arial" w:hAnsi="Arial" w:cs="Arial"/>
          <w:b/>
          <w:i/>
        </w:rPr>
        <w:t xml:space="preserve"> </w:t>
      </w:r>
      <w:r w:rsidRPr="00DB0A27">
        <w:rPr>
          <w:rFonts w:ascii="Arial" w:hAnsi="Arial" w:cs="Arial"/>
          <w:b/>
          <w:i/>
        </w:rPr>
        <w:t>Coordination:</w:t>
      </w:r>
      <w:r w:rsidRPr="00DB0A27">
        <w:rPr>
          <w:rFonts w:ascii="Arial" w:hAnsi="Arial" w:cs="Arial"/>
        </w:rPr>
        <w:t xml:space="preserve"> The continued involvement of key stakeholders throughout the project ensured timely completion and the ability to address issues flexibly as they arose.</w:t>
      </w:r>
      <w:r>
        <w:rPr>
          <w:rFonts w:ascii="Arial" w:hAnsi="Arial" w:cs="Arial"/>
        </w:rPr>
        <w:t xml:space="preserve"> For example, one issue that came up was at the beginning of the agreement concerning the commencement of the Sewerage System and the payment due after the first six months from the municipality to the private developer. The period of operations performed and the payment claimed from the municipality did not have the required approval from the Pollution Control Board (PCB). The municipality worked closely and cooperatively with the private operator and the issue was eventually resolved with little push back</w:t>
      </w:r>
      <w:r>
        <w:rPr>
          <w:rStyle w:val="FootnoteReference"/>
          <w:rFonts w:ascii="Arial" w:hAnsi="Arial" w:cs="Arial"/>
        </w:rPr>
        <w:footnoteReference w:id="9"/>
      </w:r>
      <w:r>
        <w:rPr>
          <w:rFonts w:ascii="Arial" w:hAnsi="Arial" w:cs="Arial"/>
        </w:rPr>
        <w:t>.</w:t>
      </w:r>
    </w:p>
    <w:p w:rsidR="00997AEB" w:rsidRPr="00DB0A27" w:rsidRDefault="00EF7F35" w:rsidP="00997AEB">
      <w:pPr>
        <w:rPr>
          <w:rFonts w:ascii="Arial" w:hAnsi="Arial" w:cs="Arial"/>
        </w:rPr>
      </w:pPr>
      <w:r>
        <w:rPr>
          <w:rFonts w:ascii="Arial" w:hAnsi="Arial" w:cs="Arial"/>
          <w:b/>
          <w:i/>
        </w:rPr>
        <w:t>Enabling Environment</w:t>
      </w:r>
      <w:r w:rsidR="00997AEB" w:rsidRPr="00DB0A27">
        <w:rPr>
          <w:rFonts w:ascii="Arial" w:hAnsi="Arial" w:cs="Arial"/>
          <w:b/>
          <w:i/>
        </w:rPr>
        <w:t>:</w:t>
      </w:r>
      <w:r w:rsidR="00997AEB" w:rsidRPr="00DB0A27">
        <w:rPr>
          <w:rFonts w:ascii="Arial" w:hAnsi="Arial" w:cs="Arial"/>
        </w:rPr>
        <w:t xml:space="preserve"> </w:t>
      </w:r>
      <w:r w:rsidR="0058392B">
        <w:rPr>
          <w:rFonts w:ascii="Arial" w:hAnsi="Arial" w:cs="Arial"/>
        </w:rPr>
        <w:t xml:space="preserve"> </w:t>
      </w:r>
      <w:r w:rsidR="00997AEB" w:rsidRPr="00DB0A27">
        <w:rPr>
          <w:rFonts w:ascii="Arial" w:hAnsi="Arial" w:cs="Arial"/>
        </w:rPr>
        <w:t>Assistance from the other State public entities, the Chennai Corporation, and other sources, such as the USAID’s FIRE project, was critical.</w:t>
      </w:r>
      <w:r w:rsidR="00997AEB">
        <w:rPr>
          <w:rFonts w:ascii="Arial" w:hAnsi="Arial" w:cs="Arial"/>
        </w:rPr>
        <w:t xml:space="preserve"> TNUIFSL and FIRE spearheaded the project structuring, managed the feasibility studies, and prepared the bid and contracting documents. The Chennai Corporation, along with many other sources, provided the review and approval of the engineering reports that also were essential for the success of the project</w:t>
      </w:r>
      <w:r w:rsidR="00997AEB">
        <w:rPr>
          <w:rStyle w:val="FootnoteReference"/>
          <w:rFonts w:ascii="Arial" w:hAnsi="Arial" w:cs="Arial"/>
        </w:rPr>
        <w:footnoteReference w:id="10"/>
      </w:r>
      <w:r w:rsidR="00997AEB">
        <w:rPr>
          <w:rFonts w:ascii="Arial" w:hAnsi="Arial" w:cs="Arial"/>
        </w:rPr>
        <w:t>.</w:t>
      </w:r>
    </w:p>
    <w:p w:rsidR="0069412C" w:rsidRPr="000A0BFB" w:rsidRDefault="0069412C" w:rsidP="00F2332A">
      <w:pPr>
        <w:jc w:val="both"/>
        <w:rPr>
          <w:rFonts w:ascii="Arial" w:hAnsi="Arial" w:cs="Arial"/>
        </w:rPr>
      </w:pPr>
    </w:p>
    <w:p w:rsidR="00DB0A27" w:rsidRPr="000A0BFB" w:rsidRDefault="006015AA" w:rsidP="00F2332A">
      <w:pPr>
        <w:pStyle w:val="Heading2"/>
        <w:jc w:val="both"/>
        <w:rPr>
          <w:rFonts w:ascii="Arial" w:hAnsi="Arial" w:cs="Arial"/>
          <w:color w:val="92D050"/>
          <w:sz w:val="24"/>
          <w:szCs w:val="22"/>
        </w:rPr>
      </w:pPr>
      <w:bookmarkStart w:id="6" w:name="_Toc404073789"/>
      <w:r w:rsidRPr="000A0BFB">
        <w:rPr>
          <w:rFonts w:ascii="Arial" w:hAnsi="Arial" w:cs="Arial"/>
          <w:color w:val="92D050"/>
          <w:sz w:val="24"/>
          <w:szCs w:val="22"/>
        </w:rPr>
        <w:t>Ch</w:t>
      </w:r>
      <w:r w:rsidR="00CD1D20" w:rsidRPr="000A0BFB">
        <w:rPr>
          <w:rFonts w:ascii="Arial" w:hAnsi="Arial" w:cs="Arial"/>
          <w:color w:val="92D050"/>
          <w:sz w:val="24"/>
          <w:szCs w:val="22"/>
        </w:rPr>
        <w:t>ina: Shanghai Zhuyuan No.1</w:t>
      </w:r>
      <w:bookmarkEnd w:id="6"/>
    </w:p>
    <w:p w:rsidR="00233872" w:rsidRPr="000A0BFB" w:rsidRDefault="00233872" w:rsidP="00F2332A">
      <w:pPr>
        <w:jc w:val="both"/>
        <w:rPr>
          <w:rFonts w:ascii="Arial" w:hAnsi="Arial" w:cs="Arial"/>
        </w:rPr>
      </w:pPr>
    </w:p>
    <w:p w:rsidR="00CD1D20" w:rsidRPr="000A0BFB" w:rsidRDefault="00CD1D20" w:rsidP="00F2332A">
      <w:pPr>
        <w:jc w:val="both"/>
        <w:rPr>
          <w:rFonts w:ascii="Arial" w:hAnsi="Arial" w:cs="Arial"/>
          <w:b/>
        </w:rPr>
      </w:pPr>
      <w:r w:rsidRPr="000A0BFB">
        <w:rPr>
          <w:rFonts w:ascii="Arial" w:hAnsi="Arial" w:cs="Arial"/>
          <w:b/>
        </w:rPr>
        <w:t>Project Overview</w:t>
      </w:r>
    </w:p>
    <w:p w:rsidR="0049685D" w:rsidRPr="000A0BFB" w:rsidRDefault="006015AA" w:rsidP="00F2332A">
      <w:pPr>
        <w:jc w:val="both"/>
        <w:rPr>
          <w:rFonts w:ascii="Arial" w:hAnsi="Arial" w:cs="Arial"/>
        </w:rPr>
      </w:pPr>
      <w:r w:rsidRPr="000A0BFB">
        <w:rPr>
          <w:rFonts w:ascii="Arial" w:hAnsi="Arial" w:cs="Arial"/>
        </w:rPr>
        <w:t xml:space="preserve">By 2008, </w:t>
      </w:r>
      <w:r w:rsidR="0049685D" w:rsidRPr="000A0BFB">
        <w:rPr>
          <w:rFonts w:ascii="Arial" w:hAnsi="Arial" w:cs="Arial"/>
        </w:rPr>
        <w:t>China had over 300 water supply and waste</w:t>
      </w:r>
      <w:r w:rsidRPr="000A0BFB">
        <w:rPr>
          <w:rFonts w:ascii="Arial" w:hAnsi="Arial" w:cs="Arial"/>
        </w:rPr>
        <w:t>water PPP projects, including joint ventures, concessions, and BOT contracts.</w:t>
      </w:r>
      <w:r w:rsidR="0049685D" w:rsidRPr="000A0BFB">
        <w:rPr>
          <w:rFonts w:ascii="Arial" w:hAnsi="Arial" w:cs="Arial"/>
        </w:rPr>
        <w:t xml:space="preserve"> Among these, o</w:t>
      </w:r>
      <w:r w:rsidRPr="000A0BFB">
        <w:rPr>
          <w:rFonts w:ascii="Arial" w:hAnsi="Arial" w:cs="Arial"/>
        </w:rPr>
        <w:t>ne of the</w:t>
      </w:r>
      <w:r w:rsidR="0049685D" w:rsidRPr="000A0BFB">
        <w:rPr>
          <w:rFonts w:ascii="Arial" w:hAnsi="Arial" w:cs="Arial"/>
        </w:rPr>
        <w:t xml:space="preserve"> largest and</w:t>
      </w:r>
      <w:r w:rsidRPr="000A0BFB">
        <w:rPr>
          <w:rFonts w:ascii="Arial" w:hAnsi="Arial" w:cs="Arial"/>
        </w:rPr>
        <w:t xml:space="preserve"> most famous </w:t>
      </w:r>
      <w:r w:rsidR="00AB7F87" w:rsidRPr="000A0BFB">
        <w:rPr>
          <w:rFonts w:ascii="Arial" w:hAnsi="Arial" w:cs="Arial"/>
        </w:rPr>
        <w:t>is the Shanghai Zhuyuan No.1 Wastewater Treatment Plant project (Zhuyuan), a g</w:t>
      </w:r>
      <w:r w:rsidR="00CD1D20" w:rsidRPr="000A0BFB">
        <w:rPr>
          <w:rFonts w:ascii="Arial" w:hAnsi="Arial" w:cs="Arial"/>
        </w:rPr>
        <w:t>reenfield</w:t>
      </w:r>
      <w:r w:rsidR="00AB7F87" w:rsidRPr="000A0BFB">
        <w:rPr>
          <w:rFonts w:ascii="Arial" w:hAnsi="Arial" w:cs="Arial"/>
        </w:rPr>
        <w:t xml:space="preserve"> development</w:t>
      </w:r>
      <w:r w:rsidR="0049685D" w:rsidRPr="000A0BFB">
        <w:rPr>
          <w:rFonts w:ascii="Arial" w:hAnsi="Arial" w:cs="Arial"/>
        </w:rPr>
        <w:t xml:space="preserve">, with a treatment capacity of </w:t>
      </w:r>
      <w:r w:rsidRPr="000A0BFB">
        <w:rPr>
          <w:rFonts w:ascii="Arial" w:hAnsi="Arial" w:cs="Arial"/>
        </w:rPr>
        <w:t>1.7 million m</w:t>
      </w:r>
      <w:r w:rsidRPr="000A0BFB">
        <w:rPr>
          <w:rFonts w:ascii="Arial" w:hAnsi="Arial" w:cs="Arial"/>
          <w:vertAlign w:val="superscript"/>
        </w:rPr>
        <w:t>3</w:t>
      </w:r>
      <w:r w:rsidRPr="000A0BFB">
        <w:rPr>
          <w:rFonts w:ascii="Arial" w:hAnsi="Arial" w:cs="Arial"/>
        </w:rPr>
        <w:t xml:space="preserve"> per day</w:t>
      </w:r>
      <w:r w:rsidR="0049685D" w:rsidRPr="000A0BFB">
        <w:rPr>
          <w:rFonts w:ascii="Arial" w:hAnsi="Arial" w:cs="Arial"/>
        </w:rPr>
        <w:t>, serving</w:t>
      </w:r>
      <w:r w:rsidRPr="000A0BFB">
        <w:rPr>
          <w:rFonts w:ascii="Arial" w:hAnsi="Arial" w:cs="Arial"/>
        </w:rPr>
        <w:t xml:space="preserve"> about 23.5 million inhabitants across an area of 107 square kilometers</w:t>
      </w:r>
      <w:r w:rsidR="0049685D" w:rsidRPr="000A0BFB">
        <w:rPr>
          <w:rFonts w:ascii="Arial" w:hAnsi="Arial" w:cs="Arial"/>
        </w:rPr>
        <w:t>.</w:t>
      </w:r>
      <w:r w:rsidRPr="000A0BFB">
        <w:rPr>
          <w:rStyle w:val="FootnoteReference"/>
          <w:rFonts w:ascii="Arial" w:hAnsi="Arial" w:cs="Arial"/>
        </w:rPr>
        <w:footnoteReference w:id="11"/>
      </w:r>
      <w:r w:rsidR="000571AD" w:rsidRPr="000A0BFB">
        <w:rPr>
          <w:rFonts w:ascii="Arial" w:hAnsi="Arial" w:cs="Arial"/>
        </w:rPr>
        <w:t>The total amount of construction investment in the project was CNY 870M (USD 114M)</w:t>
      </w:r>
      <w:r w:rsidR="000571AD" w:rsidRPr="000A0BFB">
        <w:rPr>
          <w:rStyle w:val="FootnoteReference"/>
          <w:rFonts w:ascii="Arial" w:hAnsi="Arial" w:cs="Arial"/>
        </w:rPr>
        <w:footnoteReference w:id="12"/>
      </w:r>
      <w:r w:rsidR="000571AD" w:rsidRPr="000A0BFB">
        <w:rPr>
          <w:rFonts w:ascii="Arial" w:hAnsi="Arial" w:cs="Arial"/>
        </w:rPr>
        <w:t xml:space="preserve"> which consisted of sponsor equity and bank financing from a domestic commercial bank.  </w:t>
      </w:r>
      <w:r w:rsidR="00F03B8D" w:rsidRPr="000A0BFB">
        <w:rPr>
          <w:rFonts w:ascii="Arial" w:hAnsi="Arial" w:cs="Arial"/>
        </w:rPr>
        <w:t xml:space="preserve">Zhuyuan is also </w:t>
      </w:r>
      <w:r w:rsidR="00AB7F87" w:rsidRPr="000A0BFB">
        <w:rPr>
          <w:rFonts w:ascii="Arial" w:hAnsi="Arial" w:cs="Arial"/>
        </w:rPr>
        <w:t xml:space="preserve">worthy of investigation </w:t>
      </w:r>
      <w:r w:rsidR="00F03B8D" w:rsidRPr="000A0BFB">
        <w:rPr>
          <w:rFonts w:ascii="Arial" w:hAnsi="Arial" w:cs="Arial"/>
        </w:rPr>
        <w:t>because it has one of the lowest customer tariff levels in the sector (.0266 USD</w:t>
      </w:r>
      <w:r w:rsidR="0069399F" w:rsidRPr="000A0BFB">
        <w:rPr>
          <w:rStyle w:val="FootnoteReference"/>
          <w:rFonts w:ascii="Arial" w:hAnsi="Arial" w:cs="Arial"/>
        </w:rPr>
        <w:footnoteReference w:id="13"/>
      </w:r>
      <w:r w:rsidR="00F03B8D" w:rsidRPr="000A0BFB">
        <w:rPr>
          <w:rFonts w:ascii="Arial" w:hAnsi="Arial" w:cs="Arial"/>
        </w:rPr>
        <w:t xml:space="preserve"> per cubic meter </w:t>
      </w:r>
      <w:r w:rsidR="00A41668" w:rsidRPr="000A0BFB">
        <w:rPr>
          <w:rFonts w:ascii="Arial" w:hAnsi="Arial" w:cs="Arial"/>
        </w:rPr>
        <w:t xml:space="preserve">of </w:t>
      </w:r>
      <w:r w:rsidR="00F03B8D" w:rsidRPr="000A0BFB">
        <w:rPr>
          <w:rFonts w:ascii="Arial" w:hAnsi="Arial" w:cs="Arial"/>
        </w:rPr>
        <w:t>treated wastewater).</w:t>
      </w:r>
    </w:p>
    <w:p w:rsidR="00F03B8D" w:rsidRPr="000A0BFB" w:rsidRDefault="0049685D" w:rsidP="00F2332A">
      <w:pPr>
        <w:jc w:val="both"/>
        <w:rPr>
          <w:rFonts w:ascii="Arial" w:hAnsi="Arial" w:cs="Arial"/>
        </w:rPr>
      </w:pPr>
      <w:r w:rsidRPr="000A0BFB">
        <w:rPr>
          <w:rFonts w:ascii="Arial" w:hAnsi="Arial" w:cs="Arial"/>
        </w:rPr>
        <w:t>In 2002</w:t>
      </w:r>
      <w:r w:rsidR="00A41668" w:rsidRPr="000A0BFB">
        <w:rPr>
          <w:rFonts w:ascii="Arial" w:hAnsi="Arial" w:cs="Arial"/>
        </w:rPr>
        <w:t>,</w:t>
      </w:r>
      <w:r w:rsidRPr="000A0BFB">
        <w:rPr>
          <w:rFonts w:ascii="Arial" w:hAnsi="Arial" w:cs="Arial"/>
        </w:rPr>
        <w:t xml:space="preserve"> the Youlian Consortium</w:t>
      </w:r>
      <w:r w:rsidR="00F03B8D" w:rsidRPr="000A0BFB">
        <w:rPr>
          <w:rFonts w:ascii="Arial" w:hAnsi="Arial" w:cs="Arial"/>
        </w:rPr>
        <w:t xml:space="preserve">, </w:t>
      </w:r>
      <w:r w:rsidR="00BC4FEA" w:rsidRPr="000A0BFB">
        <w:rPr>
          <w:rFonts w:ascii="Arial" w:hAnsi="Arial" w:cs="Arial"/>
        </w:rPr>
        <w:t>with 85% private capital</w:t>
      </w:r>
      <w:r w:rsidR="00C070AB">
        <w:rPr>
          <w:rFonts w:ascii="Arial" w:hAnsi="Arial" w:cs="Arial"/>
        </w:rPr>
        <w:t>,</w:t>
      </w:r>
      <w:r w:rsidR="00BC4FEA" w:rsidRPr="000A0BFB">
        <w:rPr>
          <w:rStyle w:val="FootnoteReference"/>
          <w:rFonts w:ascii="Arial" w:hAnsi="Arial" w:cs="Arial"/>
        </w:rPr>
        <w:footnoteReference w:id="14"/>
      </w:r>
      <w:r w:rsidR="00F03B8D" w:rsidRPr="000A0BFB">
        <w:rPr>
          <w:rFonts w:ascii="Arial" w:hAnsi="Arial" w:cs="Arial"/>
        </w:rPr>
        <w:t>consisting of Shanghai Youlian Development Company (45%), Huajin Information Investment (40%), and Shanghai Urban Construction Group (15%)</w:t>
      </w:r>
      <w:r w:rsidR="00E40A63" w:rsidRPr="000A0BFB">
        <w:rPr>
          <w:rFonts w:ascii="Arial" w:hAnsi="Arial" w:cs="Arial"/>
        </w:rPr>
        <w:t xml:space="preserve"> both private companies</w:t>
      </w:r>
      <w:r w:rsidR="00C070AB">
        <w:rPr>
          <w:rFonts w:ascii="Arial" w:hAnsi="Arial" w:cs="Arial"/>
        </w:rPr>
        <w:t>,</w:t>
      </w:r>
      <w:r w:rsidR="00E40A63" w:rsidRPr="000A0BFB">
        <w:rPr>
          <w:rStyle w:val="FootnoteReference"/>
          <w:rFonts w:ascii="Arial" w:hAnsi="Arial" w:cs="Arial"/>
        </w:rPr>
        <w:footnoteReference w:id="15"/>
      </w:r>
      <w:r w:rsidRPr="000A0BFB">
        <w:rPr>
          <w:rFonts w:ascii="Arial" w:hAnsi="Arial" w:cs="Arial"/>
        </w:rPr>
        <w:t xml:space="preserve">won </w:t>
      </w:r>
      <w:r w:rsidR="00F03B8D" w:rsidRPr="000A0BFB">
        <w:rPr>
          <w:rFonts w:ascii="Arial" w:hAnsi="Arial" w:cs="Arial"/>
        </w:rPr>
        <w:t>the open tender</w:t>
      </w:r>
      <w:r w:rsidRPr="000A0BFB">
        <w:rPr>
          <w:rFonts w:ascii="Arial" w:hAnsi="Arial" w:cs="Arial"/>
        </w:rPr>
        <w:t xml:space="preserve"> for the project</w:t>
      </w:r>
      <w:r w:rsidR="00F03B8D" w:rsidRPr="000A0BFB">
        <w:rPr>
          <w:rFonts w:ascii="Arial" w:hAnsi="Arial" w:cs="Arial"/>
        </w:rPr>
        <w:t xml:space="preserve"> by</w:t>
      </w:r>
      <w:r w:rsidRPr="000A0BFB">
        <w:rPr>
          <w:rFonts w:ascii="Arial" w:hAnsi="Arial" w:cs="Arial"/>
        </w:rPr>
        <w:t xml:space="preserve"> bidding the lowest treatment costs.</w:t>
      </w:r>
      <w:r w:rsidRPr="000A0BFB">
        <w:rPr>
          <w:rStyle w:val="FootnoteReference"/>
          <w:rFonts w:ascii="Arial" w:hAnsi="Arial" w:cs="Arial"/>
        </w:rPr>
        <w:footnoteReference w:id="16"/>
      </w:r>
      <w:r w:rsidRPr="000A0BFB">
        <w:rPr>
          <w:rFonts w:ascii="Arial" w:hAnsi="Arial" w:cs="Arial"/>
          <w:shd w:val="clear" w:color="auto" w:fill="FFFFFF"/>
        </w:rPr>
        <w:t>Shanghai Zhuyuan Youlian No.1 Wastewater Treatment Ltd. C</w:t>
      </w:r>
      <w:r w:rsidR="00A41668" w:rsidRPr="000A0BFB">
        <w:rPr>
          <w:rFonts w:ascii="Arial" w:hAnsi="Arial" w:cs="Arial"/>
          <w:shd w:val="clear" w:color="auto" w:fill="FFFFFF"/>
        </w:rPr>
        <w:t>o</w:t>
      </w:r>
      <w:r w:rsidRPr="000A0BFB">
        <w:rPr>
          <w:rFonts w:ascii="Arial" w:hAnsi="Arial" w:cs="Arial"/>
          <w:shd w:val="clear" w:color="auto" w:fill="FFFFFF"/>
        </w:rPr>
        <w:t>. was established as a joint venture project company and granted a 20 year concession by the Shanghai Water Authority</w:t>
      </w:r>
      <w:r w:rsidR="002B4636">
        <w:rPr>
          <w:rFonts w:ascii="Arial" w:hAnsi="Arial" w:cs="Arial"/>
          <w:shd w:val="clear" w:color="auto" w:fill="FFFFFF"/>
        </w:rPr>
        <w:t>.</w:t>
      </w:r>
      <w:r w:rsidR="009335F8" w:rsidRPr="000A0BFB">
        <w:rPr>
          <w:rFonts w:ascii="Arial" w:hAnsi="Arial" w:cs="Arial"/>
          <w:shd w:val="clear" w:color="auto" w:fill="FFFFFF"/>
        </w:rPr>
        <w:t xml:space="preserve"> (Strictly speaking, Shanghai Zhuyuan No.1 WWTP Greenfield project is a quasi-BOT project, due to the fact that part of the investment comes from the government</w:t>
      </w:r>
      <w:r w:rsidR="00C070AB">
        <w:rPr>
          <w:rFonts w:ascii="Arial" w:hAnsi="Arial" w:cs="Arial"/>
          <w:shd w:val="clear" w:color="auto" w:fill="FFFFFF"/>
        </w:rPr>
        <w:t>).</w:t>
      </w:r>
      <w:r w:rsidR="009335F8" w:rsidRPr="000A0BFB">
        <w:rPr>
          <w:rStyle w:val="FootnoteReference"/>
          <w:rFonts w:ascii="Arial" w:hAnsi="Arial" w:cs="Arial"/>
          <w:shd w:val="clear" w:color="auto" w:fill="FFFFFF"/>
        </w:rPr>
        <w:footnoteReference w:id="17"/>
      </w:r>
      <w:r w:rsidRPr="000A0BFB">
        <w:rPr>
          <w:rFonts w:ascii="Arial" w:hAnsi="Arial" w:cs="Arial"/>
        </w:rPr>
        <w:t xml:space="preserve">According to the </w:t>
      </w:r>
      <w:r w:rsidR="00F03B8D" w:rsidRPr="000A0BFB">
        <w:rPr>
          <w:rFonts w:ascii="Arial" w:hAnsi="Arial" w:cs="Arial"/>
        </w:rPr>
        <w:t xml:space="preserve">concession </w:t>
      </w:r>
      <w:r w:rsidRPr="000A0BFB">
        <w:rPr>
          <w:rFonts w:ascii="Arial" w:hAnsi="Arial" w:cs="Arial"/>
        </w:rPr>
        <w:t xml:space="preserve">agreement, </w:t>
      </w:r>
      <w:r w:rsidR="00E72A88" w:rsidRPr="000A0BFB">
        <w:rPr>
          <w:rFonts w:ascii="Arial" w:hAnsi="Arial" w:cs="Arial"/>
        </w:rPr>
        <w:t>the Shanghai Water Authority (</w:t>
      </w:r>
      <w:r w:rsidRPr="000A0BFB">
        <w:rPr>
          <w:rFonts w:ascii="Arial" w:hAnsi="Arial" w:cs="Arial"/>
        </w:rPr>
        <w:t>S</w:t>
      </w:r>
      <w:r w:rsidR="00A41668" w:rsidRPr="000A0BFB">
        <w:rPr>
          <w:rFonts w:ascii="Arial" w:hAnsi="Arial" w:cs="Arial"/>
        </w:rPr>
        <w:t>WA</w:t>
      </w:r>
      <w:r w:rsidR="00E72A88" w:rsidRPr="000A0BFB">
        <w:rPr>
          <w:rFonts w:ascii="Arial" w:hAnsi="Arial" w:cs="Arial"/>
        </w:rPr>
        <w:t>)</w:t>
      </w:r>
      <w:r w:rsidR="00546359" w:rsidRPr="000A0BFB">
        <w:rPr>
          <w:rFonts w:ascii="Arial" w:hAnsi="Arial" w:cs="Arial"/>
        </w:rPr>
        <w:t>had to</w:t>
      </w:r>
      <w:r w:rsidRPr="000A0BFB">
        <w:rPr>
          <w:rFonts w:ascii="Arial" w:hAnsi="Arial" w:cs="Arial"/>
        </w:rPr>
        <w:t xml:space="preserve"> minimize its</w:t>
      </w:r>
      <w:r w:rsidR="0058392B">
        <w:rPr>
          <w:rFonts w:ascii="Arial" w:hAnsi="Arial" w:cs="Arial"/>
        </w:rPr>
        <w:t xml:space="preserve"> </w:t>
      </w:r>
      <w:r w:rsidR="003C098B" w:rsidRPr="000A0BFB">
        <w:rPr>
          <w:rFonts w:ascii="Arial" w:hAnsi="Arial" w:cs="Arial"/>
        </w:rPr>
        <w:t>interference</w:t>
      </w:r>
      <w:r w:rsidR="00F03B8D" w:rsidRPr="000A0BFB">
        <w:rPr>
          <w:rFonts w:ascii="Arial" w:hAnsi="Arial" w:cs="Arial"/>
        </w:rPr>
        <w:t xml:space="preserve"> in </w:t>
      </w:r>
      <w:r w:rsidR="00A41668" w:rsidRPr="000A0BFB">
        <w:rPr>
          <w:rFonts w:ascii="Arial" w:hAnsi="Arial" w:cs="Arial"/>
        </w:rPr>
        <w:t xml:space="preserve">plant </w:t>
      </w:r>
      <w:r w:rsidR="00F03B8D" w:rsidRPr="000A0BFB">
        <w:rPr>
          <w:rFonts w:ascii="Arial" w:hAnsi="Arial" w:cs="Arial"/>
        </w:rPr>
        <w:t>construction, operation, and maintenance and limit its activities to safeguarding public health and safety.</w:t>
      </w:r>
      <w:r w:rsidR="00497931" w:rsidRPr="000A0BFB">
        <w:rPr>
          <w:rFonts w:ascii="Arial" w:hAnsi="Arial" w:cs="Arial"/>
        </w:rPr>
        <w:t xml:space="preserve"> In turn, the private company </w:t>
      </w:r>
      <w:r w:rsidR="00A41668" w:rsidRPr="000A0BFB">
        <w:rPr>
          <w:rFonts w:ascii="Arial" w:hAnsi="Arial" w:cs="Arial"/>
        </w:rPr>
        <w:t xml:space="preserve">was to </w:t>
      </w:r>
      <w:r w:rsidR="00497931" w:rsidRPr="000A0BFB">
        <w:rPr>
          <w:rFonts w:ascii="Arial" w:hAnsi="Arial" w:cs="Arial"/>
        </w:rPr>
        <w:t xml:space="preserve">receive a service fee from </w:t>
      </w:r>
      <w:r w:rsidR="00A41668" w:rsidRPr="000A0BFB">
        <w:rPr>
          <w:rFonts w:ascii="Arial" w:hAnsi="Arial" w:cs="Arial"/>
        </w:rPr>
        <w:t xml:space="preserve">SWA </w:t>
      </w:r>
      <w:r w:rsidR="00497931" w:rsidRPr="000A0BFB">
        <w:rPr>
          <w:rFonts w:ascii="Arial" w:hAnsi="Arial" w:cs="Arial"/>
        </w:rPr>
        <w:t>for the construction, operation and maintenance services it provides in a quasi-BOT structure. The service fee depend</w:t>
      </w:r>
      <w:r w:rsidR="008978C4" w:rsidRPr="000A0BFB">
        <w:rPr>
          <w:rFonts w:ascii="Arial" w:hAnsi="Arial" w:cs="Arial"/>
        </w:rPr>
        <w:t>ed</w:t>
      </w:r>
      <w:r w:rsidR="00497931" w:rsidRPr="000A0BFB">
        <w:rPr>
          <w:rFonts w:ascii="Arial" w:hAnsi="Arial" w:cs="Arial"/>
        </w:rPr>
        <w:t xml:space="preserve"> on the investments and agreed performance levels, rather than on user fees. </w:t>
      </w:r>
      <w:r w:rsidR="00F03B8D" w:rsidRPr="000A0BFB">
        <w:rPr>
          <w:rFonts w:ascii="Arial" w:hAnsi="Arial" w:cs="Arial"/>
        </w:rPr>
        <w:t>In 2005</w:t>
      </w:r>
      <w:r w:rsidR="00A41668" w:rsidRPr="000A0BFB">
        <w:rPr>
          <w:rFonts w:ascii="Arial" w:hAnsi="Arial" w:cs="Arial"/>
        </w:rPr>
        <w:t>,</w:t>
      </w:r>
      <w:r w:rsidR="00F03B8D" w:rsidRPr="000A0BFB">
        <w:rPr>
          <w:rFonts w:ascii="Arial" w:hAnsi="Arial" w:cs="Arial"/>
        </w:rPr>
        <w:t xml:space="preserve"> Youlian Development Corporation exited the consortium</w:t>
      </w:r>
      <w:r w:rsidR="003F20DA" w:rsidRPr="000A0BFB">
        <w:rPr>
          <w:rFonts w:ascii="Arial" w:hAnsi="Arial" w:cs="Arial"/>
        </w:rPr>
        <w:t xml:space="preserve"> (due to changes in financing policies in China)</w:t>
      </w:r>
      <w:r w:rsidR="00F03B8D" w:rsidRPr="000A0BFB">
        <w:rPr>
          <w:rFonts w:ascii="Arial" w:hAnsi="Arial" w:cs="Arial"/>
        </w:rPr>
        <w:t xml:space="preserve">, selling its 45% stake in the project company to InterChina Holdings, </w:t>
      </w:r>
      <w:r w:rsidR="000B7E18" w:rsidRPr="000A0BFB">
        <w:rPr>
          <w:rFonts w:ascii="Arial" w:hAnsi="Arial" w:cs="Arial"/>
        </w:rPr>
        <w:t xml:space="preserve">a </w:t>
      </w:r>
      <w:r w:rsidR="00F03B8D" w:rsidRPr="000A0BFB">
        <w:rPr>
          <w:rFonts w:ascii="Arial" w:hAnsi="Arial" w:cs="Arial"/>
        </w:rPr>
        <w:t>Hong Kong</w:t>
      </w:r>
      <w:r w:rsidR="000B7E18" w:rsidRPr="000A0BFB">
        <w:rPr>
          <w:rFonts w:ascii="Arial" w:hAnsi="Arial" w:cs="Arial"/>
        </w:rPr>
        <w:t xml:space="preserve"> listed company</w:t>
      </w:r>
      <w:r w:rsidR="00F03B8D" w:rsidRPr="000A0BFB">
        <w:rPr>
          <w:rFonts w:ascii="Arial" w:hAnsi="Arial" w:cs="Arial"/>
        </w:rPr>
        <w:t>.</w:t>
      </w:r>
      <w:r w:rsidR="00F03B8D" w:rsidRPr="000A0BFB">
        <w:rPr>
          <w:rStyle w:val="FootnoteReference"/>
          <w:rFonts w:ascii="Arial" w:hAnsi="Arial" w:cs="Arial"/>
        </w:rPr>
        <w:footnoteReference w:id="18"/>
      </w:r>
      <w:r w:rsidR="00F03B8D" w:rsidRPr="000A0BFB">
        <w:rPr>
          <w:rFonts w:ascii="Arial" w:hAnsi="Arial" w:cs="Arial"/>
        </w:rPr>
        <w:t xml:space="preserve"> Other members followed suite and now InterChina Holdings owns 100% of the project company. </w:t>
      </w:r>
    </w:p>
    <w:p w:rsidR="00CD1D20" w:rsidRPr="000A0BFB" w:rsidRDefault="00CD1D20" w:rsidP="00F2332A">
      <w:pPr>
        <w:jc w:val="both"/>
        <w:rPr>
          <w:rFonts w:ascii="Arial" w:hAnsi="Arial" w:cs="Arial"/>
          <w:b/>
        </w:rPr>
      </w:pPr>
      <w:r w:rsidRPr="000A0BFB">
        <w:rPr>
          <w:rFonts w:ascii="Arial" w:hAnsi="Arial" w:cs="Arial"/>
          <w:b/>
        </w:rPr>
        <w:t>Noteworthy Outcomes</w:t>
      </w:r>
    </w:p>
    <w:p w:rsidR="00497931" w:rsidRPr="000A0BFB" w:rsidRDefault="00497931" w:rsidP="00F2332A">
      <w:pPr>
        <w:jc w:val="both"/>
        <w:rPr>
          <w:rFonts w:ascii="Arial" w:hAnsi="Arial" w:cs="Arial"/>
        </w:rPr>
      </w:pPr>
      <w:r w:rsidRPr="000A0BFB">
        <w:rPr>
          <w:rFonts w:ascii="Arial" w:hAnsi="Arial" w:cs="Arial"/>
        </w:rPr>
        <w:t xml:space="preserve">The savings generated through the partnership are reflected in the service fee, which was </w:t>
      </w:r>
      <w:r w:rsidR="00BD44B3" w:rsidRPr="000A0BFB">
        <w:rPr>
          <w:rFonts w:ascii="Arial" w:hAnsi="Arial" w:cs="Arial"/>
        </w:rPr>
        <w:t>over 5</w:t>
      </w:r>
      <w:r w:rsidRPr="000A0BFB">
        <w:rPr>
          <w:rFonts w:ascii="Arial" w:hAnsi="Arial" w:cs="Arial"/>
        </w:rPr>
        <w:t>0% below the government’s own cost projections</w:t>
      </w:r>
      <w:r w:rsidR="00E72A88" w:rsidRPr="000A0BFB">
        <w:rPr>
          <w:rFonts w:ascii="Arial" w:hAnsi="Arial" w:cs="Arial"/>
        </w:rPr>
        <w:t xml:space="preserve"> of </w:t>
      </w:r>
      <w:r w:rsidR="00CF1138" w:rsidRPr="000A0BFB">
        <w:rPr>
          <w:rFonts w:ascii="Arial" w:hAnsi="Arial" w:cs="Arial"/>
        </w:rPr>
        <w:t>6 cents</w:t>
      </w:r>
      <w:r w:rsidRPr="000A0BFB">
        <w:rPr>
          <w:rFonts w:ascii="Arial" w:hAnsi="Arial" w:cs="Arial"/>
        </w:rPr>
        <w:t xml:space="preserve"> per cubic meter. Indirect </w:t>
      </w:r>
      <w:r w:rsidRPr="000A0BFB">
        <w:rPr>
          <w:rFonts w:ascii="Arial" w:hAnsi="Arial" w:cs="Arial"/>
        </w:rPr>
        <w:lastRenderedPageBreak/>
        <w:t>government subsidies via fixed investments and the land provided by government help to explain how both the service fee and user tariffs were so low.</w:t>
      </w:r>
      <w:r w:rsidRPr="000A0BFB">
        <w:rPr>
          <w:rStyle w:val="FootnoteReference"/>
          <w:rFonts w:ascii="Arial" w:hAnsi="Arial" w:cs="Arial"/>
        </w:rPr>
        <w:footnoteReference w:id="19"/>
      </w:r>
    </w:p>
    <w:p w:rsidR="006015AA" w:rsidRPr="000A0BFB" w:rsidRDefault="00500EED" w:rsidP="00F2332A">
      <w:pPr>
        <w:jc w:val="both"/>
        <w:rPr>
          <w:rFonts w:ascii="Arial" w:hAnsi="Arial" w:cs="Arial"/>
          <w:b/>
        </w:rPr>
      </w:pPr>
      <w:r>
        <w:rPr>
          <w:rFonts w:ascii="Arial" w:hAnsi="Arial" w:cs="Arial"/>
          <w:b/>
        </w:rPr>
        <w:t>Key</w:t>
      </w:r>
      <w:r w:rsidR="0058392B">
        <w:rPr>
          <w:rFonts w:ascii="Arial" w:hAnsi="Arial" w:cs="Arial"/>
          <w:b/>
        </w:rPr>
        <w:t xml:space="preserve"> </w:t>
      </w:r>
      <w:r w:rsidR="009B1018">
        <w:rPr>
          <w:rFonts w:ascii="Arial" w:hAnsi="Arial" w:cs="Arial"/>
          <w:b/>
        </w:rPr>
        <w:t xml:space="preserve">Success </w:t>
      </w:r>
      <w:r w:rsidR="0013747F" w:rsidRPr="000A0BFB">
        <w:rPr>
          <w:rFonts w:ascii="Arial" w:hAnsi="Arial" w:cs="Arial"/>
          <w:b/>
        </w:rPr>
        <w:t xml:space="preserve">Factors </w:t>
      </w:r>
    </w:p>
    <w:p w:rsidR="002F5068" w:rsidRPr="000A0BFB" w:rsidRDefault="00EF7F35" w:rsidP="00F2332A">
      <w:pPr>
        <w:jc w:val="both"/>
        <w:rPr>
          <w:rFonts w:ascii="Arial" w:hAnsi="Arial" w:cs="Arial"/>
        </w:rPr>
      </w:pPr>
      <w:r>
        <w:rPr>
          <w:rFonts w:ascii="Arial" w:hAnsi="Arial" w:cs="Arial"/>
          <w:b/>
          <w:i/>
        </w:rPr>
        <w:t>Appropriate Project Structuring</w:t>
      </w:r>
      <w:r w:rsidR="007236CB" w:rsidRPr="000A0BFB">
        <w:rPr>
          <w:rFonts w:ascii="Arial" w:hAnsi="Arial" w:cs="Arial"/>
          <w:b/>
          <w:i/>
        </w:rPr>
        <w:t>:</w:t>
      </w:r>
      <w:r w:rsidR="007236CB" w:rsidRPr="000A0BFB">
        <w:rPr>
          <w:rFonts w:ascii="Arial" w:hAnsi="Arial" w:cs="Arial"/>
        </w:rPr>
        <w:t xml:space="preserve"> A balance between increased access to improved service and investment outcomes (IRR) was achieved, partly due to governmental subsidies to keep the wastewater tariff level down. </w:t>
      </w:r>
      <w:r w:rsidR="002F5068" w:rsidRPr="000A0BFB">
        <w:rPr>
          <w:rFonts w:ascii="Arial" w:hAnsi="Arial" w:cs="Arial"/>
        </w:rPr>
        <w:t>The government provided land to the project company for free</w:t>
      </w:r>
      <w:r w:rsidR="00E40A63" w:rsidRPr="000A0BFB">
        <w:rPr>
          <w:rFonts w:ascii="Arial" w:hAnsi="Arial" w:cs="Arial"/>
        </w:rPr>
        <w:t xml:space="preserve"> for the duration of the term of the project</w:t>
      </w:r>
      <w:r w:rsidR="002F5068" w:rsidRPr="000A0BFB">
        <w:rPr>
          <w:rFonts w:ascii="Arial" w:hAnsi="Arial" w:cs="Arial"/>
        </w:rPr>
        <w:t>, reducing the capital expenditure incurred by the private company</w:t>
      </w:r>
      <w:r w:rsidR="007236CB" w:rsidRPr="000A0BFB">
        <w:rPr>
          <w:rFonts w:ascii="Arial" w:hAnsi="Arial" w:cs="Arial"/>
        </w:rPr>
        <w:t xml:space="preserve">. </w:t>
      </w:r>
      <w:r w:rsidR="002F5068" w:rsidRPr="000A0BFB">
        <w:rPr>
          <w:rFonts w:ascii="Arial" w:hAnsi="Arial" w:cs="Arial"/>
        </w:rPr>
        <w:t xml:space="preserve">The government </w:t>
      </w:r>
      <w:r w:rsidR="007236CB" w:rsidRPr="000A0BFB">
        <w:rPr>
          <w:rFonts w:ascii="Arial" w:hAnsi="Arial" w:cs="Arial"/>
        </w:rPr>
        <w:t xml:space="preserve">also </w:t>
      </w:r>
      <w:r w:rsidR="002F5068" w:rsidRPr="000A0BFB">
        <w:rPr>
          <w:rFonts w:ascii="Arial" w:hAnsi="Arial" w:cs="Arial"/>
        </w:rPr>
        <w:t xml:space="preserve">financed </w:t>
      </w:r>
      <w:r w:rsidR="00E40A63" w:rsidRPr="000A0BFB">
        <w:rPr>
          <w:rFonts w:ascii="Arial" w:hAnsi="Arial" w:cs="Arial"/>
        </w:rPr>
        <w:t xml:space="preserve">the </w:t>
      </w:r>
      <w:r w:rsidR="00F963A9" w:rsidRPr="000A0BFB">
        <w:rPr>
          <w:rFonts w:ascii="Arial" w:hAnsi="Arial" w:cs="Arial"/>
        </w:rPr>
        <w:t xml:space="preserve">early project </w:t>
      </w:r>
      <w:r w:rsidR="002F5068" w:rsidRPr="000A0BFB">
        <w:rPr>
          <w:rFonts w:ascii="Arial" w:hAnsi="Arial" w:cs="Arial"/>
        </w:rPr>
        <w:t xml:space="preserve">development </w:t>
      </w:r>
      <w:r w:rsidR="00E40A63" w:rsidRPr="000A0BFB">
        <w:rPr>
          <w:rFonts w:ascii="Arial" w:hAnsi="Arial" w:cs="Arial"/>
        </w:rPr>
        <w:t xml:space="preserve">and design </w:t>
      </w:r>
      <w:r w:rsidR="002F5068" w:rsidRPr="000A0BFB">
        <w:rPr>
          <w:rFonts w:ascii="Arial" w:hAnsi="Arial" w:cs="Arial"/>
        </w:rPr>
        <w:t>activities before the engagement of the private sector</w:t>
      </w:r>
      <w:r w:rsidR="007236CB" w:rsidRPr="000A0BFB">
        <w:rPr>
          <w:rFonts w:ascii="Arial" w:hAnsi="Arial" w:cs="Arial"/>
        </w:rPr>
        <w:t>.</w:t>
      </w:r>
      <w:r w:rsidR="0058392B">
        <w:rPr>
          <w:rFonts w:ascii="Arial" w:hAnsi="Arial" w:cs="Arial"/>
        </w:rPr>
        <w:t xml:space="preserve"> </w:t>
      </w:r>
      <w:r w:rsidR="00E40A63" w:rsidRPr="000A0BFB">
        <w:rPr>
          <w:rFonts w:ascii="Arial" w:hAnsi="Arial" w:cs="Arial"/>
        </w:rPr>
        <w:t xml:space="preserve">The local government involvement in the project through initial stage development </w:t>
      </w:r>
      <w:r w:rsidR="00BA3C12" w:rsidRPr="000A0BFB">
        <w:rPr>
          <w:rFonts w:ascii="Arial" w:hAnsi="Arial" w:cs="Arial"/>
        </w:rPr>
        <w:t>activities</w:t>
      </w:r>
      <w:r w:rsidR="00E40A63" w:rsidRPr="000A0BFB">
        <w:rPr>
          <w:rFonts w:ascii="Arial" w:hAnsi="Arial" w:cs="Arial"/>
        </w:rPr>
        <w:t xml:space="preserve"> (valued at about </w:t>
      </w:r>
      <w:r w:rsidR="00E156C5" w:rsidRPr="000A0BFB">
        <w:rPr>
          <w:rFonts w:ascii="Arial" w:hAnsi="Arial" w:cs="Arial"/>
        </w:rPr>
        <w:t>$30 million</w:t>
      </w:r>
      <w:r w:rsidR="00E40A63" w:rsidRPr="000A0BFB">
        <w:rPr>
          <w:rFonts w:ascii="Arial" w:hAnsi="Arial" w:cs="Arial"/>
        </w:rPr>
        <w:t xml:space="preserve">)plus offering the project company the right to freely use the land during the term of the project </w:t>
      </w:r>
      <w:r w:rsidR="00BA3C12" w:rsidRPr="000A0BFB">
        <w:rPr>
          <w:rFonts w:ascii="Arial" w:hAnsi="Arial" w:cs="Arial"/>
        </w:rPr>
        <w:t xml:space="preserve">reduced the project risk, which contributed to the low tariffs. </w:t>
      </w:r>
      <w:r w:rsidR="003843A2">
        <w:rPr>
          <w:rFonts w:ascii="Arial" w:hAnsi="Arial" w:cs="Arial"/>
        </w:rPr>
        <w:t>Further, p</w:t>
      </w:r>
      <w:r w:rsidR="003843A2" w:rsidRPr="000A0BFB">
        <w:rPr>
          <w:rFonts w:ascii="Arial" w:hAnsi="Arial" w:cs="Arial"/>
        </w:rPr>
        <w:t>oor and disadvantaged residents were subsidized by the government and public hearings contributed to higher levels of legitimacy.</w:t>
      </w:r>
    </w:p>
    <w:p w:rsidR="00C070AB" w:rsidRDefault="002F5068" w:rsidP="00F2332A">
      <w:pPr>
        <w:jc w:val="both"/>
        <w:rPr>
          <w:rFonts w:ascii="Arial" w:hAnsi="Arial" w:cs="Arial"/>
        </w:rPr>
      </w:pPr>
      <w:r w:rsidRPr="000A0BFB">
        <w:rPr>
          <w:rFonts w:ascii="Arial" w:hAnsi="Arial" w:cs="Arial"/>
          <w:b/>
          <w:i/>
        </w:rPr>
        <w:t>Enabling Environment</w:t>
      </w:r>
      <w:r w:rsidR="007236CB" w:rsidRPr="000A0BFB">
        <w:rPr>
          <w:rFonts w:ascii="Arial" w:hAnsi="Arial" w:cs="Arial"/>
          <w:b/>
        </w:rPr>
        <w:t xml:space="preserve">: </w:t>
      </w:r>
      <w:r w:rsidR="009F27B1" w:rsidRPr="000A0BFB">
        <w:rPr>
          <w:rFonts w:ascii="Arial" w:hAnsi="Arial" w:cs="Arial"/>
        </w:rPr>
        <w:t>The project team accelerated the establishment of a more favorable, systematic and comprehensive regulatory framework to replace the existing ad hoc, fragmented regulatory systems, which threatened efficiency in water service delivery and failed to appeal to foreign investors.</w:t>
      </w:r>
      <w:r w:rsidR="0058392B">
        <w:rPr>
          <w:rFonts w:ascii="Arial" w:hAnsi="Arial" w:cs="Arial"/>
        </w:rPr>
        <w:t xml:space="preserve"> </w:t>
      </w:r>
      <w:r w:rsidR="003843A2" w:rsidRPr="000A0BFB">
        <w:rPr>
          <w:rFonts w:ascii="Arial" w:hAnsi="Arial" w:cs="Arial"/>
        </w:rPr>
        <w:t xml:space="preserve">Significant economic growth levels </w:t>
      </w:r>
      <w:r w:rsidR="003843A2">
        <w:rPr>
          <w:rFonts w:ascii="Arial" w:hAnsi="Arial" w:cs="Arial"/>
        </w:rPr>
        <w:t xml:space="preserve">also </w:t>
      </w:r>
      <w:r w:rsidR="003843A2" w:rsidRPr="000A0BFB">
        <w:rPr>
          <w:rFonts w:ascii="Arial" w:hAnsi="Arial" w:cs="Arial"/>
        </w:rPr>
        <w:t>enabled local residents to cope with some tariff increases.</w:t>
      </w:r>
    </w:p>
    <w:p w:rsidR="003843A2" w:rsidRDefault="003843A2" w:rsidP="00F2332A">
      <w:pPr>
        <w:jc w:val="both"/>
        <w:rPr>
          <w:rFonts w:ascii="Arial" w:hAnsi="Arial" w:cs="Arial"/>
        </w:rPr>
      </w:pPr>
    </w:p>
    <w:p w:rsidR="003843A2" w:rsidRDefault="003843A2" w:rsidP="00F2332A">
      <w:pPr>
        <w:jc w:val="both"/>
        <w:rPr>
          <w:rFonts w:ascii="Arial" w:hAnsi="Arial" w:cs="Arial"/>
        </w:rPr>
      </w:pPr>
    </w:p>
    <w:p w:rsidR="003843A2" w:rsidRDefault="003843A2" w:rsidP="00F2332A">
      <w:pPr>
        <w:jc w:val="both"/>
        <w:rPr>
          <w:rFonts w:ascii="Arial" w:hAnsi="Arial" w:cs="Arial"/>
        </w:rPr>
      </w:pPr>
    </w:p>
    <w:p w:rsidR="00EF7F35" w:rsidRDefault="00EF7F35">
      <w:pPr>
        <w:rPr>
          <w:rFonts w:ascii="Arial" w:hAnsi="Arial" w:cs="Arial"/>
        </w:rPr>
      </w:pPr>
      <w:r>
        <w:rPr>
          <w:rFonts w:ascii="Arial" w:hAnsi="Arial" w:cs="Arial"/>
        </w:rPr>
        <w:br w:type="page"/>
      </w:r>
    </w:p>
    <w:p w:rsidR="003843A2" w:rsidRPr="000A0BFB" w:rsidRDefault="003843A2" w:rsidP="00F2332A">
      <w:pPr>
        <w:jc w:val="both"/>
        <w:rPr>
          <w:rFonts w:ascii="Arial" w:hAnsi="Arial" w:cs="Arial"/>
        </w:rPr>
      </w:pPr>
    </w:p>
    <w:tbl>
      <w:tblPr>
        <w:tblpPr w:leftFromText="180" w:rightFromText="180" w:bottomFromText="155" w:vertAnchor="text" w:horzAnchor="page" w:tblpX="1955" w:tblpY="-168"/>
        <w:tblW w:w="9659" w:type="dxa"/>
        <w:shd w:val="clear" w:color="auto" w:fill="EDE8CB"/>
        <w:tblCellMar>
          <w:left w:w="0" w:type="dxa"/>
          <w:right w:w="0" w:type="dxa"/>
        </w:tblCellMar>
        <w:tblLook w:val="04A0" w:firstRow="1" w:lastRow="0" w:firstColumn="1" w:lastColumn="0" w:noHBand="0" w:noVBand="1"/>
      </w:tblPr>
      <w:tblGrid>
        <w:gridCol w:w="9659"/>
      </w:tblGrid>
      <w:tr w:rsidR="003843A2" w:rsidRPr="000A0BFB" w:rsidTr="003843A2">
        <w:trPr>
          <w:trHeight w:val="990"/>
        </w:trPr>
        <w:tc>
          <w:tcPr>
            <w:tcW w:w="9659" w:type="dxa"/>
            <w:tcBorders>
              <w:top w:val="nil"/>
              <w:left w:val="nil"/>
              <w:bottom w:val="single" w:sz="18" w:space="0" w:color="28AADA"/>
              <w:right w:val="nil"/>
            </w:tcBorders>
            <w:shd w:val="clear" w:color="auto" w:fill="002776"/>
            <w:tcMar>
              <w:top w:w="0" w:type="dxa"/>
              <w:left w:w="115" w:type="dxa"/>
              <w:bottom w:w="0" w:type="dxa"/>
              <w:right w:w="115" w:type="dxa"/>
            </w:tcMar>
            <w:hideMark/>
          </w:tcPr>
          <w:p w:rsidR="003843A2" w:rsidRPr="000A0BFB" w:rsidRDefault="003843A2" w:rsidP="003843A2">
            <w:pPr>
              <w:spacing w:before="120"/>
              <w:rPr>
                <w:rFonts w:ascii="Arial" w:eastAsia="Calibri" w:hAnsi="Arial" w:cs="Arial"/>
                <w:b/>
                <w:bCs/>
                <w:sz w:val="20"/>
                <w:szCs w:val="20"/>
              </w:rPr>
            </w:pPr>
            <w:r w:rsidRPr="000A0BFB">
              <w:rPr>
                <w:rFonts w:ascii="Arial" w:eastAsia="Calibri" w:hAnsi="Arial" w:cs="Arial"/>
                <w:b/>
                <w:bCs/>
                <w:sz w:val="20"/>
                <w:szCs w:val="20"/>
              </w:rPr>
              <w:t>INFOBOX 1: Household Level Public Private Partnerships</w:t>
            </w:r>
          </w:p>
          <w:p w:rsidR="003843A2" w:rsidRPr="000A0BFB" w:rsidRDefault="003843A2" w:rsidP="003843A2">
            <w:pPr>
              <w:spacing w:before="120"/>
              <w:rPr>
                <w:rFonts w:ascii="Arial" w:eastAsia="Calibri" w:hAnsi="Arial" w:cs="Arial"/>
                <w:b/>
                <w:bCs/>
                <w:szCs w:val="20"/>
              </w:rPr>
            </w:pPr>
            <w:r w:rsidRPr="000A0BFB">
              <w:rPr>
                <w:rFonts w:ascii="Arial" w:eastAsia="Calibri" w:hAnsi="Arial" w:cs="Arial"/>
                <w:b/>
                <w:bCs/>
                <w:sz w:val="20"/>
                <w:szCs w:val="20"/>
              </w:rPr>
              <w:t>Sri Lanka Case Study</w:t>
            </w:r>
          </w:p>
        </w:tc>
      </w:tr>
      <w:tr w:rsidR="003843A2" w:rsidRPr="000A0BFB" w:rsidTr="003843A2">
        <w:trPr>
          <w:trHeight w:val="6723"/>
        </w:trPr>
        <w:tc>
          <w:tcPr>
            <w:tcW w:w="9659" w:type="dxa"/>
            <w:tcBorders>
              <w:top w:val="nil"/>
              <w:left w:val="nil"/>
              <w:bottom w:val="single" w:sz="18" w:space="0" w:color="28AADA"/>
              <w:right w:val="nil"/>
            </w:tcBorders>
            <w:shd w:val="clear" w:color="auto" w:fill="auto"/>
            <w:tcMar>
              <w:top w:w="0" w:type="dxa"/>
              <w:left w:w="115" w:type="dxa"/>
              <w:bottom w:w="0" w:type="dxa"/>
              <w:right w:w="115" w:type="dxa"/>
            </w:tcMar>
            <w:vAlign w:val="center"/>
            <w:hideMark/>
          </w:tcPr>
          <w:p w:rsidR="003843A2" w:rsidRPr="000A0BFB" w:rsidRDefault="003843A2" w:rsidP="003843A2">
            <w:pPr>
              <w:rPr>
                <w:rFonts w:ascii="Arial" w:hAnsi="Arial" w:cs="Arial"/>
                <w:sz w:val="20"/>
                <w:szCs w:val="20"/>
              </w:rPr>
            </w:pPr>
            <w:r w:rsidRPr="000A0BFB">
              <w:rPr>
                <w:rFonts w:ascii="Arial" w:hAnsi="Arial" w:cs="Arial"/>
                <w:sz w:val="20"/>
                <w:szCs w:val="20"/>
              </w:rPr>
              <w:t xml:space="preserve">A team in Sri Lanka is exploring the use of five-year PPP arrangements between operators and households for desludging septic tanks. Under the model, for a small payment by the customer, an operator will go to a given household and perform the desludging. Once confirmed by the household, the operator can request additional payment from the water board. </w:t>
            </w:r>
          </w:p>
          <w:p w:rsidR="003843A2" w:rsidRPr="000A0BFB" w:rsidRDefault="003843A2" w:rsidP="003843A2">
            <w:pPr>
              <w:rPr>
                <w:rFonts w:ascii="Arial" w:hAnsi="Arial" w:cs="Arial"/>
                <w:sz w:val="20"/>
                <w:szCs w:val="20"/>
              </w:rPr>
            </w:pPr>
            <w:r w:rsidRPr="000A0BFB">
              <w:rPr>
                <w:rFonts w:ascii="Arial" w:hAnsi="Arial" w:cs="Arial"/>
                <w:sz w:val="20"/>
                <w:szCs w:val="20"/>
              </w:rPr>
              <w:t xml:space="preserve">The National Water Supply Drainage Board (NWSDB) will manage the competitive selection of the operators on behalf of the local authorities, which will be </w:t>
            </w:r>
            <w:r w:rsidR="00220DCD">
              <w:rPr>
                <w:rFonts w:ascii="Arial" w:hAnsi="Arial" w:cs="Arial"/>
                <w:sz w:val="20"/>
                <w:szCs w:val="20"/>
              </w:rPr>
              <w:t>re</w:t>
            </w:r>
            <w:r w:rsidRPr="000A0BFB">
              <w:rPr>
                <w:rFonts w:ascii="Arial" w:hAnsi="Arial" w:cs="Arial"/>
                <w:sz w:val="20"/>
                <w:szCs w:val="20"/>
              </w:rPr>
              <w:t>presented in the bid evaluation committee. One of the main objectives of such arrangement is to ensure that there is regular desludging</w:t>
            </w:r>
            <w:r w:rsidR="006109A4">
              <w:rPr>
                <w:rFonts w:ascii="Arial" w:hAnsi="Arial" w:cs="Arial"/>
                <w:sz w:val="20"/>
                <w:szCs w:val="20"/>
              </w:rPr>
              <w:t>. T</w:t>
            </w:r>
            <w:r w:rsidRPr="000A0BFB">
              <w:rPr>
                <w:rFonts w:ascii="Arial" w:hAnsi="Arial" w:cs="Arial"/>
                <w:sz w:val="20"/>
                <w:szCs w:val="20"/>
              </w:rPr>
              <w:t xml:space="preserve">he task team proposed that the PPP agreements between the operator and the household </w:t>
            </w:r>
            <w:r w:rsidR="00220DCD">
              <w:rPr>
                <w:rFonts w:ascii="Arial" w:hAnsi="Arial" w:cs="Arial"/>
                <w:sz w:val="20"/>
                <w:szCs w:val="20"/>
              </w:rPr>
              <w:t>be</w:t>
            </w:r>
            <w:r w:rsidR="00220DCD" w:rsidRPr="000A0BFB">
              <w:rPr>
                <w:rFonts w:ascii="Arial" w:hAnsi="Arial" w:cs="Arial"/>
                <w:sz w:val="20"/>
                <w:szCs w:val="20"/>
              </w:rPr>
              <w:t xml:space="preserve"> </w:t>
            </w:r>
            <w:r w:rsidRPr="000A0BFB">
              <w:rPr>
                <w:rFonts w:ascii="Arial" w:hAnsi="Arial" w:cs="Arial"/>
                <w:sz w:val="20"/>
                <w:szCs w:val="20"/>
              </w:rPr>
              <w:t xml:space="preserve">for a minimum of five years. Within those five years the operator will be required to regularly desludge the septic tank. The regularity of such desludging will be contingent upon the physical size of the septic tank and desludgings will be scheduled accordingly. </w:t>
            </w:r>
            <w:r w:rsidR="00AD6650">
              <w:rPr>
                <w:rFonts w:ascii="Arial" w:hAnsi="Arial" w:cs="Arial"/>
                <w:sz w:val="20"/>
                <w:szCs w:val="20"/>
              </w:rPr>
              <w:t xml:space="preserve">For poor households who do not have access to the sewer network, </w:t>
            </w:r>
            <w:r w:rsidRPr="000A0BFB">
              <w:rPr>
                <w:rFonts w:ascii="Arial" w:hAnsi="Arial" w:cs="Arial"/>
                <w:sz w:val="20"/>
                <w:szCs w:val="20"/>
              </w:rPr>
              <w:t>Global Partnership on Output Based Aid (GPOBA) Grant</w:t>
            </w:r>
            <w:r w:rsidR="00AD6650">
              <w:rPr>
                <w:rFonts w:ascii="Arial" w:hAnsi="Arial" w:cs="Arial"/>
                <w:sz w:val="20"/>
                <w:szCs w:val="20"/>
              </w:rPr>
              <w:t>s will provide subsidies for the construction of toilets with septic tanks and for the partial cost of desludging these facilities for 2 years</w:t>
            </w:r>
            <w:r w:rsidRPr="000A0BFB">
              <w:rPr>
                <w:rFonts w:ascii="Arial" w:hAnsi="Arial" w:cs="Arial"/>
                <w:sz w:val="20"/>
                <w:szCs w:val="20"/>
              </w:rPr>
              <w:t>. Thus, an operator will return to a given household within a scheduled time (say 12 to 14 months) and, subject to a small payment by the customer, will perform the desludging of the septic tank.</w:t>
            </w:r>
            <w:r w:rsidR="0058392B">
              <w:rPr>
                <w:rFonts w:ascii="Arial" w:hAnsi="Arial" w:cs="Arial"/>
                <w:sz w:val="20"/>
                <w:szCs w:val="20"/>
              </w:rPr>
              <w:t xml:space="preserve"> </w:t>
            </w:r>
            <w:r w:rsidRPr="000A0BFB">
              <w:rPr>
                <w:rFonts w:ascii="Arial" w:hAnsi="Arial" w:cs="Arial"/>
                <w:sz w:val="20"/>
                <w:szCs w:val="20"/>
              </w:rPr>
              <w:t>Upon confirmation by the household the operator can request payment from the water board/GPOBA.</w:t>
            </w:r>
          </w:p>
          <w:p w:rsidR="003843A2" w:rsidRPr="000A0BFB" w:rsidRDefault="003843A2" w:rsidP="003843A2">
            <w:pPr>
              <w:rPr>
                <w:rFonts w:ascii="Arial" w:hAnsi="Arial" w:cs="Arial"/>
                <w:sz w:val="20"/>
                <w:szCs w:val="20"/>
              </w:rPr>
            </w:pPr>
            <w:r w:rsidRPr="000A0BFB">
              <w:rPr>
                <w:rFonts w:ascii="Arial" w:hAnsi="Arial" w:cs="Arial"/>
                <w:sz w:val="20"/>
                <w:szCs w:val="20"/>
              </w:rPr>
              <w:t>Eligible households: The task team, with the assistance of the water board as well as the local municipalities, will focus on households where there are no existing sanitation facilities either in the form of a toilet or a septic tank. Locations with these characteristics will be given priority over other locations.</w:t>
            </w:r>
          </w:p>
          <w:p w:rsidR="003843A2" w:rsidRPr="000A0BFB" w:rsidRDefault="003843A2" w:rsidP="003843A2">
            <w:pPr>
              <w:rPr>
                <w:rFonts w:ascii="Arial" w:hAnsi="Arial" w:cs="Arial"/>
                <w:sz w:val="20"/>
                <w:szCs w:val="20"/>
              </w:rPr>
            </w:pPr>
            <w:r w:rsidRPr="000A0BFB">
              <w:rPr>
                <w:rFonts w:ascii="Arial" w:hAnsi="Arial" w:cs="Arial"/>
                <w:sz w:val="20"/>
                <w:szCs w:val="20"/>
              </w:rPr>
              <w:t xml:space="preserve">Revised unit cost: The mission has already worked with the NWSDB to estimate the unit cost. Although this will vary depending on the pilot areas identified and the type of intervention needed, an estimated average of $800 was determined as an appropriate benchmark. Such unit cost compares favorably to unit costs observed while developing the same facilities in India. </w:t>
            </w:r>
          </w:p>
          <w:p w:rsidR="003843A2" w:rsidRPr="000A0BFB" w:rsidRDefault="003843A2" w:rsidP="003843A2">
            <w:pPr>
              <w:rPr>
                <w:rFonts w:ascii="Arial" w:eastAsia="Calibri" w:hAnsi="Arial" w:cs="Arial"/>
                <w:i/>
                <w:iCs/>
                <w:color w:val="002776"/>
              </w:rPr>
            </w:pPr>
            <w:r w:rsidRPr="000A0BFB">
              <w:rPr>
                <w:rFonts w:ascii="Arial" w:hAnsi="Arial" w:cs="Arial"/>
                <w:i/>
                <w:sz w:val="20"/>
                <w:szCs w:val="20"/>
              </w:rPr>
              <w:t>Source: WSP, Sri Lanka: Output-Based Aid in the Wastewater Sector; World Bank Implementation Support Mission. August 21-29, 2014, Aide-Memoire</w:t>
            </w:r>
          </w:p>
        </w:tc>
      </w:tr>
    </w:tbl>
    <w:p w:rsidR="00C138E2" w:rsidRPr="000A0BFB" w:rsidRDefault="00C138E2" w:rsidP="00F2332A">
      <w:pPr>
        <w:rPr>
          <w:rFonts w:ascii="Arial" w:hAnsi="Arial" w:cs="Arial"/>
          <w:color w:val="002060"/>
          <w:sz w:val="24"/>
        </w:rPr>
      </w:pPr>
      <w:r w:rsidRPr="000A0BFB">
        <w:rPr>
          <w:rFonts w:ascii="Arial" w:hAnsi="Arial" w:cs="Arial"/>
          <w:color w:val="002060"/>
          <w:sz w:val="24"/>
        </w:rPr>
        <w:br w:type="page"/>
      </w:r>
    </w:p>
    <w:p w:rsidR="001D23F4" w:rsidRPr="000A0BFB" w:rsidRDefault="001D23F4" w:rsidP="00F2332A">
      <w:pPr>
        <w:pStyle w:val="Heading1"/>
        <w:jc w:val="both"/>
        <w:rPr>
          <w:rFonts w:ascii="Arial" w:hAnsi="Arial" w:cs="Arial"/>
          <w:color w:val="002060"/>
          <w:sz w:val="32"/>
          <w:szCs w:val="22"/>
        </w:rPr>
      </w:pPr>
      <w:bookmarkStart w:id="7" w:name="_Toc404073790"/>
      <w:r w:rsidRPr="000A0BFB">
        <w:rPr>
          <w:rFonts w:ascii="Arial" w:hAnsi="Arial" w:cs="Arial"/>
          <w:color w:val="002060"/>
          <w:sz w:val="32"/>
          <w:szCs w:val="22"/>
        </w:rPr>
        <w:lastRenderedPageBreak/>
        <w:t>Case Studies: Africa</w:t>
      </w:r>
      <w:bookmarkEnd w:id="7"/>
    </w:p>
    <w:p w:rsidR="001D23F4" w:rsidRPr="000A0BFB" w:rsidRDefault="001D23F4" w:rsidP="00F2332A">
      <w:pPr>
        <w:jc w:val="both"/>
        <w:rPr>
          <w:rFonts w:ascii="Arial" w:hAnsi="Arial" w:cs="Arial"/>
        </w:rPr>
      </w:pPr>
    </w:p>
    <w:p w:rsidR="00667857" w:rsidRPr="000A0BFB" w:rsidRDefault="00663643" w:rsidP="00F2332A">
      <w:pPr>
        <w:pStyle w:val="Heading2"/>
        <w:jc w:val="both"/>
        <w:rPr>
          <w:rFonts w:ascii="Arial" w:hAnsi="Arial" w:cs="Arial"/>
          <w:color w:val="92D050"/>
          <w:sz w:val="24"/>
        </w:rPr>
      </w:pPr>
      <w:bookmarkStart w:id="8" w:name="_Toc404073791"/>
      <w:r w:rsidRPr="000A0BFB">
        <w:rPr>
          <w:rFonts w:ascii="Arial" w:hAnsi="Arial" w:cs="Arial"/>
          <w:color w:val="92D050"/>
          <w:sz w:val="24"/>
        </w:rPr>
        <w:t>Egypt: New Cairo</w:t>
      </w:r>
      <w:r w:rsidR="00B26309" w:rsidRPr="000A0BFB">
        <w:rPr>
          <w:rFonts w:ascii="Arial" w:hAnsi="Arial" w:cs="Arial"/>
          <w:color w:val="92D050"/>
          <w:sz w:val="24"/>
        </w:rPr>
        <w:t xml:space="preserve"> Wastewater Treatment Plant</w:t>
      </w:r>
      <w:bookmarkEnd w:id="8"/>
    </w:p>
    <w:p w:rsidR="009C3212" w:rsidRPr="000A0BFB" w:rsidRDefault="009C3212" w:rsidP="00F2332A">
      <w:pPr>
        <w:jc w:val="both"/>
        <w:rPr>
          <w:rFonts w:ascii="Arial" w:hAnsi="Arial" w:cs="Arial"/>
        </w:rPr>
      </w:pPr>
    </w:p>
    <w:p w:rsidR="00AD495C" w:rsidRPr="000A0BFB" w:rsidRDefault="00AD495C" w:rsidP="00F2332A">
      <w:pPr>
        <w:jc w:val="both"/>
        <w:rPr>
          <w:rFonts w:ascii="Arial" w:hAnsi="Arial" w:cs="Arial"/>
          <w:b/>
        </w:rPr>
      </w:pPr>
      <w:r w:rsidRPr="000A0BFB">
        <w:rPr>
          <w:rFonts w:ascii="Arial" w:hAnsi="Arial" w:cs="Arial"/>
          <w:b/>
        </w:rPr>
        <w:t>Project Overview</w:t>
      </w:r>
    </w:p>
    <w:p w:rsidR="00745773" w:rsidRPr="000A0BFB" w:rsidRDefault="00745773" w:rsidP="00F2332A">
      <w:pPr>
        <w:jc w:val="both"/>
        <w:rPr>
          <w:rFonts w:ascii="Arial" w:hAnsi="Arial" w:cs="Arial"/>
        </w:rPr>
      </w:pPr>
      <w:r w:rsidRPr="000A0BFB">
        <w:rPr>
          <w:rFonts w:ascii="Arial" w:hAnsi="Arial" w:cs="Arial"/>
        </w:rPr>
        <w:t>New Cairo City is a satellite town of Greater Cairo, created to alleviate overcrowding in the capital. In 20</w:t>
      </w:r>
      <w:r w:rsidR="005C7207" w:rsidRPr="000A0BFB">
        <w:rPr>
          <w:rFonts w:ascii="Arial" w:hAnsi="Arial" w:cs="Arial"/>
        </w:rPr>
        <w:t>06</w:t>
      </w:r>
      <w:r w:rsidR="00FE4043" w:rsidRPr="000A0BFB">
        <w:rPr>
          <w:rFonts w:ascii="Arial" w:hAnsi="Arial" w:cs="Arial"/>
        </w:rPr>
        <w:t>,</w:t>
      </w:r>
      <w:r w:rsidRPr="000A0BFB">
        <w:rPr>
          <w:rFonts w:ascii="Arial" w:hAnsi="Arial" w:cs="Arial"/>
        </w:rPr>
        <w:t xml:space="preserve"> New Cairo had a population of 550,000, with growth projections forecasted at </w:t>
      </w:r>
      <w:r w:rsidR="00E639DC" w:rsidRPr="000A0BFB">
        <w:rPr>
          <w:rFonts w:ascii="Arial" w:hAnsi="Arial" w:cs="Arial"/>
        </w:rPr>
        <w:t xml:space="preserve">four </w:t>
      </w:r>
      <w:r w:rsidRPr="000A0BFB">
        <w:rPr>
          <w:rFonts w:ascii="Arial" w:hAnsi="Arial" w:cs="Arial"/>
        </w:rPr>
        <w:t>million over the next 20 years. This rapid population growth placed increasing pressure on already poor existing water and sanitation infrastructure.</w:t>
      </w:r>
      <w:r w:rsidRPr="000A0BFB">
        <w:rPr>
          <w:rStyle w:val="FootnoteReference"/>
          <w:rFonts w:ascii="Arial" w:hAnsi="Arial" w:cs="Arial"/>
        </w:rPr>
        <w:footnoteReference w:id="20"/>
      </w:r>
    </w:p>
    <w:p w:rsidR="005C7207" w:rsidRPr="000A0BFB" w:rsidRDefault="00745773" w:rsidP="00F2332A">
      <w:pPr>
        <w:jc w:val="both"/>
        <w:rPr>
          <w:rFonts w:ascii="Arial" w:hAnsi="Arial" w:cs="Arial"/>
        </w:rPr>
      </w:pPr>
      <w:r w:rsidRPr="000A0BFB">
        <w:rPr>
          <w:rFonts w:ascii="Arial" w:hAnsi="Arial" w:cs="Arial"/>
        </w:rPr>
        <w:t xml:space="preserve">In response to this pressure, </w:t>
      </w:r>
      <w:r w:rsidR="005C7207" w:rsidRPr="000A0BFB">
        <w:rPr>
          <w:rFonts w:ascii="Arial" w:hAnsi="Arial" w:cs="Arial"/>
        </w:rPr>
        <w:t xml:space="preserve">in 2007 </w:t>
      </w:r>
      <w:r w:rsidRPr="000A0BFB">
        <w:rPr>
          <w:rFonts w:ascii="Arial" w:hAnsi="Arial" w:cs="Arial"/>
        </w:rPr>
        <w:t>t</w:t>
      </w:r>
      <w:r w:rsidR="00663643" w:rsidRPr="000A0BFB">
        <w:rPr>
          <w:rFonts w:ascii="Arial" w:hAnsi="Arial" w:cs="Arial"/>
        </w:rPr>
        <w:t>he</w:t>
      </w:r>
      <w:r w:rsidRPr="000A0BFB">
        <w:rPr>
          <w:rFonts w:ascii="Arial" w:hAnsi="Arial" w:cs="Arial"/>
        </w:rPr>
        <w:t xml:space="preserve"> Government of Egypt</w:t>
      </w:r>
      <w:r w:rsidR="00105D96" w:rsidRPr="000A0BFB">
        <w:rPr>
          <w:rFonts w:ascii="Arial" w:hAnsi="Arial" w:cs="Arial"/>
        </w:rPr>
        <w:t xml:space="preserve">(GoE) </w:t>
      </w:r>
      <w:r w:rsidR="005C7207" w:rsidRPr="000A0BFB">
        <w:rPr>
          <w:rFonts w:ascii="Arial" w:hAnsi="Arial" w:cs="Arial"/>
        </w:rPr>
        <w:t xml:space="preserve">launched the New Cairo City Wastewater Treatment Plant PPP project, the first PPP in Egypt. This was a somewhat challenging time for </w:t>
      </w:r>
      <w:r w:rsidR="00FE4043" w:rsidRPr="000A0BFB">
        <w:rPr>
          <w:rFonts w:ascii="Arial" w:hAnsi="Arial" w:cs="Arial"/>
        </w:rPr>
        <w:t xml:space="preserve">the </w:t>
      </w:r>
      <w:r w:rsidR="005C7207" w:rsidRPr="000A0BFB">
        <w:rPr>
          <w:rFonts w:ascii="Arial" w:hAnsi="Arial" w:cs="Arial"/>
        </w:rPr>
        <w:t xml:space="preserve">infrastructure </w:t>
      </w:r>
      <w:r w:rsidR="00105D96" w:rsidRPr="000A0BFB">
        <w:rPr>
          <w:rFonts w:ascii="Arial" w:hAnsi="Arial" w:cs="Arial"/>
        </w:rPr>
        <w:t xml:space="preserve">sector </w:t>
      </w:r>
      <w:r w:rsidR="005C7207" w:rsidRPr="000A0BFB">
        <w:rPr>
          <w:rFonts w:ascii="Arial" w:hAnsi="Arial" w:cs="Arial"/>
        </w:rPr>
        <w:t xml:space="preserve">in Egypt due to recent unsuccessful private sector participation in the energy sector. To avoid making the same mistakes, the GoE launched the New Cairo project as part of a broader initiative to develop innovative infrastructure projects and promote </w:t>
      </w:r>
      <w:r w:rsidR="00105D96" w:rsidRPr="000A0BFB">
        <w:rPr>
          <w:rFonts w:ascii="Arial" w:hAnsi="Arial" w:cs="Arial"/>
        </w:rPr>
        <w:t xml:space="preserve">infrastructure </w:t>
      </w:r>
      <w:r w:rsidR="005C7207" w:rsidRPr="000A0BFB">
        <w:rPr>
          <w:rFonts w:ascii="Arial" w:hAnsi="Arial" w:cs="Arial"/>
        </w:rPr>
        <w:t>PPPs.</w:t>
      </w:r>
      <w:r w:rsidR="005C7207" w:rsidRPr="000A0BFB">
        <w:rPr>
          <w:rStyle w:val="FootnoteReference"/>
          <w:rFonts w:ascii="Arial" w:hAnsi="Arial" w:cs="Arial"/>
        </w:rPr>
        <w:footnoteReference w:id="21"/>
      </w:r>
    </w:p>
    <w:p w:rsidR="00663643" w:rsidRPr="000A0BFB" w:rsidRDefault="005C7207" w:rsidP="00F2332A">
      <w:pPr>
        <w:jc w:val="both"/>
        <w:rPr>
          <w:rFonts w:ascii="Arial" w:hAnsi="Arial" w:cs="Arial"/>
        </w:rPr>
      </w:pPr>
      <w:r w:rsidRPr="000A0BFB">
        <w:rPr>
          <w:rFonts w:ascii="Arial" w:hAnsi="Arial" w:cs="Arial"/>
        </w:rPr>
        <w:t>The government</w:t>
      </w:r>
      <w:r w:rsidR="00745773" w:rsidRPr="000A0BFB">
        <w:rPr>
          <w:rFonts w:ascii="Arial" w:hAnsi="Arial" w:cs="Arial"/>
        </w:rPr>
        <w:t xml:space="preserve"> engaged the</w:t>
      </w:r>
      <w:r w:rsidR="00663643" w:rsidRPr="000A0BFB">
        <w:rPr>
          <w:rFonts w:ascii="Arial" w:hAnsi="Arial" w:cs="Arial"/>
        </w:rPr>
        <w:t xml:space="preserve"> International Finance Corporation (IFC) </w:t>
      </w:r>
      <w:r w:rsidRPr="000A0BFB">
        <w:rPr>
          <w:rFonts w:ascii="Arial" w:hAnsi="Arial" w:cs="Arial"/>
        </w:rPr>
        <w:t>to structure the</w:t>
      </w:r>
      <w:r w:rsidR="005E6BAA" w:rsidRPr="000A0BFB">
        <w:rPr>
          <w:rFonts w:ascii="Arial" w:hAnsi="Arial" w:cs="Arial"/>
        </w:rPr>
        <w:t xml:space="preserve"> New Cairo</w:t>
      </w:r>
      <w:r w:rsidR="00663643" w:rsidRPr="000A0BFB">
        <w:rPr>
          <w:rFonts w:ascii="Arial" w:hAnsi="Arial" w:cs="Arial"/>
        </w:rPr>
        <w:t xml:space="preserve"> PPP </w:t>
      </w:r>
      <w:r w:rsidR="00FE4043" w:rsidRPr="000A0BFB">
        <w:rPr>
          <w:rFonts w:ascii="Arial" w:hAnsi="Arial" w:cs="Arial"/>
        </w:rPr>
        <w:t xml:space="preserve">using a design, </w:t>
      </w:r>
      <w:r w:rsidR="00663643" w:rsidRPr="000A0BFB">
        <w:rPr>
          <w:rFonts w:ascii="Arial" w:hAnsi="Arial" w:cs="Arial"/>
        </w:rPr>
        <w:t>financ</w:t>
      </w:r>
      <w:r w:rsidR="00FE4043" w:rsidRPr="000A0BFB">
        <w:rPr>
          <w:rFonts w:ascii="Arial" w:hAnsi="Arial" w:cs="Arial"/>
        </w:rPr>
        <w:t>e</w:t>
      </w:r>
      <w:r w:rsidR="00663643" w:rsidRPr="000A0BFB">
        <w:rPr>
          <w:rFonts w:ascii="Arial" w:hAnsi="Arial" w:cs="Arial"/>
        </w:rPr>
        <w:t>, construct, operat</w:t>
      </w:r>
      <w:r w:rsidR="00FE4043" w:rsidRPr="000A0BFB">
        <w:rPr>
          <w:rFonts w:ascii="Arial" w:hAnsi="Arial" w:cs="Arial"/>
        </w:rPr>
        <w:t xml:space="preserve">e, </w:t>
      </w:r>
      <w:r w:rsidR="00DA5ACD" w:rsidRPr="000A0BFB">
        <w:rPr>
          <w:rFonts w:ascii="Arial" w:hAnsi="Arial" w:cs="Arial"/>
        </w:rPr>
        <w:t>maintai</w:t>
      </w:r>
      <w:r w:rsidR="00FE4043" w:rsidRPr="000A0BFB">
        <w:rPr>
          <w:rFonts w:ascii="Arial" w:hAnsi="Arial" w:cs="Arial"/>
        </w:rPr>
        <w:t xml:space="preserve">n and own or possibly transfer </w:t>
      </w:r>
      <w:r w:rsidR="00663643" w:rsidRPr="000A0BFB">
        <w:rPr>
          <w:rFonts w:ascii="Arial" w:hAnsi="Arial" w:cs="Arial"/>
        </w:rPr>
        <w:t xml:space="preserve">wastewater plant </w:t>
      </w:r>
      <w:r w:rsidR="008D0A6D" w:rsidRPr="000A0BFB">
        <w:rPr>
          <w:rFonts w:ascii="Arial" w:hAnsi="Arial" w:cs="Arial"/>
        </w:rPr>
        <w:t>with a capacity of 250,000m</w:t>
      </w:r>
      <w:r w:rsidR="00E72A88" w:rsidRPr="000A0BFB">
        <w:rPr>
          <w:rFonts w:ascii="Arial" w:hAnsi="Arial" w:cs="Arial"/>
          <w:vertAlign w:val="superscript"/>
        </w:rPr>
        <w:t>3</w:t>
      </w:r>
      <w:r w:rsidR="008D0A6D" w:rsidRPr="000A0BFB">
        <w:rPr>
          <w:rFonts w:ascii="Arial" w:hAnsi="Arial" w:cs="Arial"/>
        </w:rPr>
        <w:t xml:space="preserve"> per day</w:t>
      </w:r>
      <w:r w:rsidR="00DA5ACD" w:rsidRPr="000A0BFB">
        <w:rPr>
          <w:rFonts w:ascii="Arial" w:hAnsi="Arial" w:cs="Arial"/>
        </w:rPr>
        <w:t>.</w:t>
      </w:r>
      <w:r w:rsidRPr="000A0BFB">
        <w:rPr>
          <w:rFonts w:ascii="Arial" w:hAnsi="Arial" w:cs="Arial"/>
        </w:rPr>
        <w:t xml:space="preserve">The government also engaged </w:t>
      </w:r>
      <w:r w:rsidR="00FE4043" w:rsidRPr="000A0BFB">
        <w:rPr>
          <w:rFonts w:ascii="Arial" w:hAnsi="Arial" w:cs="Arial"/>
        </w:rPr>
        <w:t xml:space="preserve">the World Bank Group’s </w:t>
      </w:r>
      <w:r w:rsidR="00105D96" w:rsidRPr="000A0BFB">
        <w:rPr>
          <w:rFonts w:ascii="Arial" w:hAnsi="Arial" w:cs="Arial"/>
        </w:rPr>
        <w:t>Public Private Infrastructure Advisory Facility (</w:t>
      </w:r>
      <w:r w:rsidRPr="000A0BFB">
        <w:rPr>
          <w:rFonts w:ascii="Arial" w:hAnsi="Arial" w:cs="Arial"/>
        </w:rPr>
        <w:t>PPIAF</w:t>
      </w:r>
      <w:r w:rsidR="00105D96" w:rsidRPr="000A0BFB">
        <w:rPr>
          <w:rFonts w:ascii="Arial" w:hAnsi="Arial" w:cs="Arial"/>
        </w:rPr>
        <w:t>)</w:t>
      </w:r>
      <w:r w:rsidRPr="000A0BFB">
        <w:rPr>
          <w:rFonts w:ascii="Arial" w:hAnsi="Arial" w:cs="Arial"/>
        </w:rPr>
        <w:t xml:space="preserve"> to assist with preparation of the conceptual framework and transaction model. </w:t>
      </w:r>
      <w:r w:rsidR="00745773" w:rsidRPr="000A0BFB">
        <w:rPr>
          <w:rFonts w:ascii="Arial" w:hAnsi="Arial" w:cs="Arial"/>
        </w:rPr>
        <w:t>Key public sector drivers for this project were the</w:t>
      </w:r>
      <w:r w:rsidR="000931F5" w:rsidRPr="000A0BFB">
        <w:rPr>
          <w:rFonts w:ascii="Arial" w:hAnsi="Arial" w:cs="Arial"/>
        </w:rPr>
        <w:t>need to p</w:t>
      </w:r>
      <w:r w:rsidR="00663643" w:rsidRPr="000A0BFB">
        <w:rPr>
          <w:rFonts w:ascii="Arial" w:hAnsi="Arial" w:cs="Arial"/>
        </w:rPr>
        <w:t>rovide adequate sanitation to the city of New Cairo</w:t>
      </w:r>
      <w:r w:rsidR="000931F5" w:rsidRPr="000A0BFB">
        <w:rPr>
          <w:rFonts w:ascii="Arial" w:hAnsi="Arial" w:cs="Arial"/>
        </w:rPr>
        <w:t>, m</w:t>
      </w:r>
      <w:r w:rsidR="00663643" w:rsidRPr="000A0BFB">
        <w:rPr>
          <w:rFonts w:ascii="Arial" w:hAnsi="Arial" w:cs="Arial"/>
        </w:rPr>
        <w:t>obilize private sector finance and technical expertis</w:t>
      </w:r>
      <w:r w:rsidR="000931F5" w:rsidRPr="000A0BFB">
        <w:rPr>
          <w:rFonts w:ascii="Arial" w:hAnsi="Arial" w:cs="Arial"/>
        </w:rPr>
        <w:t>e, and i</w:t>
      </w:r>
      <w:r w:rsidR="00663643" w:rsidRPr="000A0BFB">
        <w:rPr>
          <w:rFonts w:ascii="Arial" w:hAnsi="Arial" w:cs="Arial"/>
        </w:rPr>
        <w:t xml:space="preserve">mplement a </w:t>
      </w:r>
      <w:r w:rsidR="00105D96" w:rsidRPr="000A0BFB">
        <w:rPr>
          <w:rFonts w:ascii="Arial" w:hAnsi="Arial" w:cs="Arial"/>
        </w:rPr>
        <w:t xml:space="preserve">successful </w:t>
      </w:r>
      <w:r w:rsidR="00663643" w:rsidRPr="000A0BFB">
        <w:rPr>
          <w:rFonts w:ascii="Arial" w:hAnsi="Arial" w:cs="Arial"/>
        </w:rPr>
        <w:t>demonstrative project that could be replicated elsewhere</w:t>
      </w:r>
      <w:r w:rsidR="008D0A6D" w:rsidRPr="000A0BFB">
        <w:rPr>
          <w:rFonts w:ascii="Arial" w:hAnsi="Arial" w:cs="Arial"/>
        </w:rPr>
        <w:t xml:space="preserve">. </w:t>
      </w:r>
    </w:p>
    <w:p w:rsidR="00663643" w:rsidRPr="000A0BFB" w:rsidRDefault="008D0A6D" w:rsidP="00F2332A">
      <w:pPr>
        <w:jc w:val="both"/>
        <w:rPr>
          <w:rFonts w:ascii="Arial" w:hAnsi="Arial" w:cs="Arial"/>
        </w:rPr>
      </w:pPr>
      <w:r w:rsidRPr="000A0BFB">
        <w:rPr>
          <w:rFonts w:ascii="Arial" w:hAnsi="Arial" w:cs="Arial"/>
        </w:rPr>
        <w:t>T</w:t>
      </w:r>
      <w:r w:rsidR="00663643" w:rsidRPr="000A0BFB">
        <w:rPr>
          <w:rFonts w:ascii="Arial" w:hAnsi="Arial" w:cs="Arial"/>
        </w:rPr>
        <w:t xml:space="preserve">he IFC assessed and evaluated various options </w:t>
      </w:r>
      <w:r w:rsidRPr="000A0BFB">
        <w:rPr>
          <w:rFonts w:ascii="Arial" w:hAnsi="Arial" w:cs="Arial"/>
        </w:rPr>
        <w:t xml:space="preserve">for engaging the private sector </w:t>
      </w:r>
      <w:r w:rsidR="00663643" w:rsidRPr="000A0BFB">
        <w:rPr>
          <w:rFonts w:ascii="Arial" w:hAnsi="Arial" w:cs="Arial"/>
        </w:rPr>
        <w:t>and worked with the PPP unit, together with the Ministries of Fi</w:t>
      </w:r>
      <w:r w:rsidRPr="000A0BFB">
        <w:rPr>
          <w:rFonts w:ascii="Arial" w:hAnsi="Arial" w:cs="Arial"/>
        </w:rPr>
        <w:t xml:space="preserve">nance, Investments, and Housing to identify the best solution. </w:t>
      </w:r>
      <w:r w:rsidR="00663643" w:rsidRPr="000A0BFB">
        <w:rPr>
          <w:rFonts w:ascii="Arial" w:hAnsi="Arial" w:cs="Arial"/>
        </w:rPr>
        <w:t xml:space="preserve">The project was </w:t>
      </w:r>
      <w:r w:rsidR="00E72A88" w:rsidRPr="000A0BFB">
        <w:rPr>
          <w:rFonts w:ascii="Arial" w:hAnsi="Arial" w:cs="Arial"/>
        </w:rPr>
        <w:t xml:space="preserve">ultimately </w:t>
      </w:r>
      <w:r w:rsidR="00663643" w:rsidRPr="000A0BFB">
        <w:rPr>
          <w:rFonts w:ascii="Arial" w:hAnsi="Arial" w:cs="Arial"/>
        </w:rPr>
        <w:t>structured as a 20-year BOT</w:t>
      </w:r>
      <w:r w:rsidRPr="000A0BFB">
        <w:rPr>
          <w:rFonts w:ascii="Arial" w:hAnsi="Arial" w:cs="Arial"/>
        </w:rPr>
        <w:t xml:space="preserve"> in which the government pays quarterly sewerage treatment charges to the private partner. The charge consists of a fixed amount to cover fixed costs and a variable amount, based on volume treated, for variable operating expenses. </w:t>
      </w:r>
    </w:p>
    <w:p w:rsidR="00DA5ACD" w:rsidRPr="000A0BFB" w:rsidRDefault="00DA5ACD" w:rsidP="00F2332A">
      <w:pPr>
        <w:jc w:val="both"/>
        <w:rPr>
          <w:rFonts w:ascii="Arial" w:hAnsi="Arial" w:cs="Arial"/>
        </w:rPr>
      </w:pPr>
      <w:r w:rsidRPr="000A0BFB">
        <w:rPr>
          <w:rFonts w:ascii="Arial" w:hAnsi="Arial" w:cs="Arial"/>
        </w:rPr>
        <w:t>The selec</w:t>
      </w:r>
      <w:r w:rsidR="008D0A6D" w:rsidRPr="000A0BFB">
        <w:rPr>
          <w:rFonts w:ascii="Arial" w:hAnsi="Arial" w:cs="Arial"/>
        </w:rPr>
        <w:t>tion process included a</w:t>
      </w:r>
      <w:r w:rsidRPr="000A0BFB">
        <w:rPr>
          <w:rFonts w:ascii="Arial" w:hAnsi="Arial" w:cs="Arial"/>
        </w:rPr>
        <w:t xml:space="preserve"> prequalification </w:t>
      </w:r>
      <w:r w:rsidR="008D0A6D" w:rsidRPr="000A0BFB">
        <w:rPr>
          <w:rFonts w:ascii="Arial" w:hAnsi="Arial" w:cs="Arial"/>
        </w:rPr>
        <w:t xml:space="preserve">phase, during which </w:t>
      </w:r>
      <w:r w:rsidRPr="000A0BFB">
        <w:rPr>
          <w:rFonts w:ascii="Arial" w:hAnsi="Arial" w:cs="Arial"/>
        </w:rPr>
        <w:t xml:space="preserve">prospective bidders </w:t>
      </w:r>
      <w:r w:rsidR="008D0A6D" w:rsidRPr="000A0BFB">
        <w:rPr>
          <w:rFonts w:ascii="Arial" w:hAnsi="Arial" w:cs="Arial"/>
        </w:rPr>
        <w:t xml:space="preserve">were assessed for </w:t>
      </w:r>
      <w:r w:rsidRPr="000A0BFB">
        <w:rPr>
          <w:rFonts w:ascii="Arial" w:hAnsi="Arial" w:cs="Arial"/>
        </w:rPr>
        <w:t>f</w:t>
      </w:r>
      <w:r w:rsidR="009100BD" w:rsidRPr="000A0BFB">
        <w:rPr>
          <w:rFonts w:ascii="Arial" w:hAnsi="Arial" w:cs="Arial"/>
        </w:rPr>
        <w:t xml:space="preserve">inancial and technical </w:t>
      </w:r>
      <w:r w:rsidR="008D0A6D" w:rsidRPr="000A0BFB">
        <w:rPr>
          <w:rFonts w:ascii="Arial" w:hAnsi="Arial" w:cs="Arial"/>
        </w:rPr>
        <w:t>eligibility</w:t>
      </w:r>
      <w:r w:rsidR="009100BD" w:rsidRPr="000A0BFB">
        <w:rPr>
          <w:rFonts w:ascii="Arial" w:hAnsi="Arial" w:cs="Arial"/>
        </w:rPr>
        <w:t xml:space="preserve">. </w:t>
      </w:r>
      <w:r w:rsidR="008D0A6D" w:rsidRPr="000A0BFB">
        <w:rPr>
          <w:rFonts w:ascii="Arial" w:hAnsi="Arial" w:cs="Arial"/>
        </w:rPr>
        <w:t xml:space="preserve">Bidding was organized in two subsequent steps: a technical bid evaluated on a pass/fail basis and a commercial bid limited to those who had ‘passed’ the technical round. </w:t>
      </w:r>
      <w:r w:rsidRPr="000A0BFB">
        <w:rPr>
          <w:rFonts w:ascii="Arial" w:hAnsi="Arial" w:cs="Arial"/>
        </w:rPr>
        <w:t xml:space="preserve">The project attracted five bids from consortia comprised of local, regional, and international firms. </w:t>
      </w:r>
      <w:r w:rsidR="001F20A8" w:rsidRPr="000A0BFB">
        <w:rPr>
          <w:rFonts w:ascii="Arial" w:hAnsi="Arial" w:cs="Arial"/>
        </w:rPr>
        <w:t xml:space="preserve">A consortium of Egyptian firm Orascom Construction Industries (OCI) and Spanish firm Aqualia </w:t>
      </w:r>
      <w:r w:rsidR="008D0A6D" w:rsidRPr="000A0BFB">
        <w:rPr>
          <w:rFonts w:ascii="Arial" w:hAnsi="Arial" w:cs="Arial"/>
        </w:rPr>
        <w:t xml:space="preserve">(also known as Orasqualia) </w:t>
      </w:r>
      <w:r w:rsidR="001F20A8" w:rsidRPr="000A0BFB">
        <w:rPr>
          <w:rFonts w:ascii="Arial" w:hAnsi="Arial" w:cs="Arial"/>
        </w:rPr>
        <w:t xml:space="preserve">submitted the lowest financial bid and was awarded the </w:t>
      </w:r>
      <w:r w:rsidR="005E6BAA" w:rsidRPr="000A0BFB">
        <w:rPr>
          <w:rFonts w:ascii="Arial" w:hAnsi="Arial" w:cs="Arial"/>
        </w:rPr>
        <w:t xml:space="preserve">$482 million </w:t>
      </w:r>
      <w:r w:rsidR="001F20A8" w:rsidRPr="000A0BFB">
        <w:rPr>
          <w:rFonts w:ascii="Arial" w:hAnsi="Arial" w:cs="Arial"/>
        </w:rPr>
        <w:t>contract in June 2009.</w:t>
      </w:r>
    </w:p>
    <w:p w:rsidR="00233872" w:rsidRPr="000A0BFB" w:rsidRDefault="00233872" w:rsidP="008D0A6D">
      <w:pPr>
        <w:rPr>
          <w:rFonts w:ascii="Arial" w:hAnsi="Arial" w:cs="Arial"/>
        </w:rPr>
      </w:pPr>
    </w:p>
    <w:p w:rsidR="00233872" w:rsidRPr="000A0BFB" w:rsidRDefault="00233872" w:rsidP="008D0A6D">
      <w:pPr>
        <w:rPr>
          <w:rFonts w:ascii="Arial" w:hAnsi="Arial" w:cs="Arial"/>
        </w:rPr>
      </w:pPr>
    </w:p>
    <w:p w:rsidR="00AD495C" w:rsidRPr="000A0BFB" w:rsidRDefault="00AD495C" w:rsidP="00F2332A">
      <w:pPr>
        <w:jc w:val="both"/>
        <w:rPr>
          <w:rFonts w:ascii="Arial" w:hAnsi="Arial" w:cs="Arial"/>
          <w:b/>
        </w:rPr>
      </w:pPr>
      <w:r w:rsidRPr="000A0BFB">
        <w:rPr>
          <w:rFonts w:ascii="Arial" w:hAnsi="Arial" w:cs="Arial"/>
          <w:b/>
        </w:rPr>
        <w:lastRenderedPageBreak/>
        <w:t>Noteworthy Outcomes</w:t>
      </w:r>
    </w:p>
    <w:p w:rsidR="005E6BAA" w:rsidRPr="000A0BFB" w:rsidRDefault="008D0A6D" w:rsidP="00F2332A">
      <w:pPr>
        <w:jc w:val="both"/>
        <w:rPr>
          <w:rFonts w:ascii="Arial" w:hAnsi="Arial" w:cs="Arial"/>
        </w:rPr>
      </w:pPr>
      <w:r w:rsidRPr="000A0BFB">
        <w:rPr>
          <w:rFonts w:ascii="Arial" w:hAnsi="Arial" w:cs="Arial"/>
        </w:rPr>
        <w:t xml:space="preserve">The </w:t>
      </w:r>
      <w:r w:rsidR="001F20A8" w:rsidRPr="000A0BFB">
        <w:rPr>
          <w:rFonts w:ascii="Arial" w:hAnsi="Arial" w:cs="Arial"/>
        </w:rPr>
        <w:t>Orasqualia consortium financed the project fully</w:t>
      </w:r>
      <w:r w:rsidRPr="000A0BFB">
        <w:rPr>
          <w:rFonts w:ascii="Arial" w:hAnsi="Arial" w:cs="Arial"/>
        </w:rPr>
        <w:t>, investing</w:t>
      </w:r>
      <w:r w:rsidR="009C3212" w:rsidRPr="000A0BFB">
        <w:rPr>
          <w:rFonts w:ascii="Arial" w:hAnsi="Arial" w:cs="Arial"/>
        </w:rPr>
        <w:t xml:space="preserve"> 30% </w:t>
      </w:r>
      <w:r w:rsidRPr="000A0BFB">
        <w:rPr>
          <w:rFonts w:ascii="Arial" w:hAnsi="Arial" w:cs="Arial"/>
        </w:rPr>
        <w:t xml:space="preserve">in </w:t>
      </w:r>
      <w:r w:rsidR="009C3212" w:rsidRPr="000A0BFB">
        <w:rPr>
          <w:rFonts w:ascii="Arial" w:hAnsi="Arial" w:cs="Arial"/>
        </w:rPr>
        <w:t xml:space="preserve">equity and </w:t>
      </w:r>
      <w:r w:rsidR="00A850A4" w:rsidRPr="000A0BFB">
        <w:rPr>
          <w:rFonts w:ascii="Arial" w:hAnsi="Arial" w:cs="Arial"/>
        </w:rPr>
        <w:t xml:space="preserve">securing </w:t>
      </w:r>
      <w:r w:rsidR="009C3212" w:rsidRPr="000A0BFB">
        <w:rPr>
          <w:rFonts w:ascii="Arial" w:hAnsi="Arial" w:cs="Arial"/>
        </w:rPr>
        <w:t>70%</w:t>
      </w:r>
      <w:r w:rsidR="00A850A4" w:rsidRPr="000A0BFB">
        <w:rPr>
          <w:rFonts w:ascii="Arial" w:hAnsi="Arial" w:cs="Arial"/>
        </w:rPr>
        <w:t xml:space="preserve">of the project cost </w:t>
      </w:r>
      <w:r w:rsidR="002950F0" w:rsidRPr="000A0BFB">
        <w:rPr>
          <w:rFonts w:ascii="Arial" w:hAnsi="Arial" w:cs="Arial"/>
        </w:rPr>
        <w:t>(denominated</w:t>
      </w:r>
      <w:r w:rsidR="00E72A88" w:rsidRPr="000A0BFB">
        <w:rPr>
          <w:rFonts w:ascii="Arial" w:hAnsi="Arial" w:cs="Arial"/>
        </w:rPr>
        <w:t xml:space="preserve"> in </w:t>
      </w:r>
      <w:r w:rsidR="00A850A4" w:rsidRPr="000A0BFB">
        <w:rPr>
          <w:rFonts w:ascii="Arial" w:hAnsi="Arial" w:cs="Arial"/>
        </w:rPr>
        <w:t>Egyptian Pounds</w:t>
      </w:r>
      <w:r w:rsidR="00E72A88" w:rsidRPr="000A0BFB">
        <w:rPr>
          <w:rFonts w:ascii="Arial" w:hAnsi="Arial" w:cs="Arial"/>
        </w:rPr>
        <w:t>)</w:t>
      </w:r>
      <w:r w:rsidR="00A850A4" w:rsidRPr="000A0BFB">
        <w:rPr>
          <w:rFonts w:ascii="Arial" w:hAnsi="Arial" w:cs="Arial"/>
        </w:rPr>
        <w:t xml:space="preserve"> from a </w:t>
      </w:r>
      <w:r w:rsidR="00BA3C12" w:rsidRPr="000A0BFB">
        <w:rPr>
          <w:rFonts w:ascii="Arial" w:hAnsi="Arial" w:cs="Arial"/>
        </w:rPr>
        <w:t>group of four Egyptian banks</w:t>
      </w:r>
      <w:r w:rsidR="00C070AB">
        <w:rPr>
          <w:rFonts w:ascii="Arial" w:hAnsi="Arial" w:cs="Arial"/>
        </w:rPr>
        <w:t>.</w:t>
      </w:r>
      <w:r w:rsidR="00A850A4" w:rsidRPr="000A0BFB">
        <w:rPr>
          <w:rStyle w:val="FootnoteReference"/>
          <w:rFonts w:ascii="Arial" w:hAnsi="Arial" w:cs="Arial"/>
        </w:rPr>
        <w:footnoteReference w:id="22"/>
      </w:r>
      <w:r w:rsidR="003A4717" w:rsidRPr="000A0BFB">
        <w:rPr>
          <w:rFonts w:ascii="Arial" w:hAnsi="Arial" w:cs="Arial"/>
        </w:rPr>
        <w:t xml:space="preserve">The transaction mobilized </w:t>
      </w:r>
      <w:r w:rsidR="004A62BC">
        <w:rPr>
          <w:rFonts w:ascii="Arial" w:hAnsi="Arial" w:cs="Arial"/>
        </w:rPr>
        <w:t xml:space="preserve">the equivalent of </w:t>
      </w:r>
      <w:r w:rsidR="003A4717" w:rsidRPr="000A0BFB">
        <w:rPr>
          <w:rFonts w:ascii="Arial" w:hAnsi="Arial" w:cs="Arial"/>
        </w:rPr>
        <w:t xml:space="preserve">$150-$200 million in private investment. The </w:t>
      </w:r>
      <w:r w:rsidR="005E6BAA" w:rsidRPr="000A0BFB">
        <w:rPr>
          <w:rFonts w:ascii="Arial" w:hAnsi="Arial" w:cs="Arial"/>
        </w:rPr>
        <w:t xml:space="preserve">New Cairo </w:t>
      </w:r>
      <w:r w:rsidR="003A4717" w:rsidRPr="000A0BFB">
        <w:rPr>
          <w:rFonts w:ascii="Arial" w:hAnsi="Arial" w:cs="Arial"/>
        </w:rPr>
        <w:t xml:space="preserve">plant was completed in March 2012 and </w:t>
      </w:r>
      <w:r w:rsidR="005E6BAA" w:rsidRPr="000A0BFB">
        <w:rPr>
          <w:rFonts w:ascii="Arial" w:hAnsi="Arial" w:cs="Arial"/>
        </w:rPr>
        <w:t>offers a replicable model for future PPPs in Egypt and throughout the region.</w:t>
      </w:r>
    </w:p>
    <w:p w:rsidR="00262C1B" w:rsidRPr="000A0BFB" w:rsidRDefault="00500EED" w:rsidP="00F2332A">
      <w:pPr>
        <w:jc w:val="both"/>
        <w:rPr>
          <w:rFonts w:ascii="Arial" w:hAnsi="Arial" w:cs="Arial"/>
          <w:b/>
        </w:rPr>
      </w:pPr>
      <w:r>
        <w:rPr>
          <w:rFonts w:ascii="Arial" w:hAnsi="Arial" w:cs="Arial"/>
          <w:b/>
        </w:rPr>
        <w:t>Key</w:t>
      </w:r>
      <w:r w:rsidR="0048559D">
        <w:rPr>
          <w:rFonts w:ascii="Arial" w:hAnsi="Arial" w:cs="Arial"/>
          <w:b/>
        </w:rPr>
        <w:t xml:space="preserve">Success </w:t>
      </w:r>
      <w:r w:rsidR="00262C1B" w:rsidRPr="000A0BFB">
        <w:rPr>
          <w:rFonts w:ascii="Arial" w:hAnsi="Arial" w:cs="Arial"/>
          <w:b/>
        </w:rPr>
        <w:t xml:space="preserve">Factors </w:t>
      </w:r>
    </w:p>
    <w:p w:rsidR="004A62BC" w:rsidRDefault="007473AC" w:rsidP="004A62BC">
      <w:pPr>
        <w:jc w:val="both"/>
        <w:rPr>
          <w:rFonts w:ascii="Arial" w:hAnsi="Arial" w:cs="Arial"/>
        </w:rPr>
      </w:pPr>
      <w:r>
        <w:rPr>
          <w:rFonts w:ascii="Arial" w:hAnsi="Arial" w:cs="Arial"/>
          <w:b/>
          <w:i/>
        </w:rPr>
        <w:t>Stakeholder</w:t>
      </w:r>
      <w:r w:rsidR="00794AAB">
        <w:rPr>
          <w:rFonts w:ascii="Arial" w:hAnsi="Arial" w:cs="Arial"/>
          <w:b/>
          <w:i/>
        </w:rPr>
        <w:t xml:space="preserve"> </w:t>
      </w:r>
      <w:r w:rsidR="004A62BC" w:rsidRPr="004A62BC">
        <w:rPr>
          <w:rFonts w:ascii="Arial" w:hAnsi="Arial" w:cs="Arial"/>
          <w:b/>
          <w:i/>
        </w:rPr>
        <w:t>Participation</w:t>
      </w:r>
      <w:r w:rsidR="00794AAB">
        <w:rPr>
          <w:rFonts w:ascii="Arial" w:hAnsi="Arial" w:cs="Arial"/>
          <w:b/>
          <w:i/>
        </w:rPr>
        <w:t xml:space="preserve"> </w:t>
      </w:r>
      <w:r w:rsidR="00A60AE1">
        <w:rPr>
          <w:rFonts w:ascii="Arial" w:hAnsi="Arial" w:cs="Arial"/>
          <w:b/>
          <w:i/>
        </w:rPr>
        <w:t>and</w:t>
      </w:r>
      <w:r w:rsidR="00EF7F35">
        <w:rPr>
          <w:rFonts w:ascii="Arial" w:hAnsi="Arial" w:cs="Arial"/>
          <w:b/>
          <w:i/>
        </w:rPr>
        <w:t xml:space="preserve"> Coordination</w:t>
      </w:r>
      <w:r w:rsidR="004A62BC" w:rsidRPr="000A0BFB">
        <w:rPr>
          <w:rFonts w:ascii="Arial" w:hAnsi="Arial" w:cs="Arial"/>
          <w:b/>
          <w:i/>
        </w:rPr>
        <w:t>:</w:t>
      </w:r>
      <w:r w:rsidR="004A62BC" w:rsidRPr="000A0BFB">
        <w:rPr>
          <w:rFonts w:ascii="Arial" w:hAnsi="Arial" w:cs="Arial"/>
        </w:rPr>
        <w:t xml:space="preserve"> The Ministry of Finance (MoF) was committed and capable throughout the duration of the project</w:t>
      </w:r>
      <w:r w:rsidR="00F945C0">
        <w:rPr>
          <w:rFonts w:ascii="Arial" w:hAnsi="Arial" w:cs="Arial"/>
        </w:rPr>
        <w:t xml:space="preserve"> and had established a</w:t>
      </w:r>
      <w:r w:rsidR="00794AAB">
        <w:rPr>
          <w:rFonts w:ascii="Arial" w:hAnsi="Arial" w:cs="Arial"/>
        </w:rPr>
        <w:t xml:space="preserve"> new PPP unit</w:t>
      </w:r>
      <w:r w:rsidR="00F945C0">
        <w:rPr>
          <w:rFonts w:ascii="Arial" w:hAnsi="Arial" w:cs="Arial"/>
        </w:rPr>
        <w:t xml:space="preserve"> to coordinate this effort.</w:t>
      </w:r>
      <w:r w:rsidR="004A62BC" w:rsidRPr="000A0BFB">
        <w:rPr>
          <w:rFonts w:ascii="Arial" w:hAnsi="Arial" w:cs="Arial"/>
        </w:rPr>
        <w:t xml:space="preserve"> The project was proactively managed by relevant stakeholders. </w:t>
      </w:r>
      <w:r>
        <w:rPr>
          <w:rFonts w:ascii="Arial" w:hAnsi="Arial" w:cs="Arial"/>
        </w:rPr>
        <w:t xml:space="preserve">During the procurement stage, 60 private sector parties expressed interest in participating in the project, with seven parties qualifying to bid. Ultimately, five parties chose to bid for the project. </w:t>
      </w:r>
    </w:p>
    <w:p w:rsidR="00EF7F35" w:rsidRPr="000A0BFB" w:rsidRDefault="00EF7F35" w:rsidP="00EF7F35">
      <w:pPr>
        <w:jc w:val="both"/>
        <w:rPr>
          <w:rFonts w:ascii="Arial" w:hAnsi="Arial" w:cs="Arial"/>
        </w:rPr>
      </w:pPr>
      <w:r w:rsidRPr="000A0BFB">
        <w:rPr>
          <w:rFonts w:ascii="Arial" w:hAnsi="Arial" w:cs="Arial"/>
        </w:rPr>
        <w:t>A Performance Monitoring Committee was also established during this PPP</w:t>
      </w:r>
      <w:r w:rsidR="00A510AC">
        <w:rPr>
          <w:rFonts w:ascii="Arial" w:hAnsi="Arial" w:cs="Arial"/>
        </w:rPr>
        <w:t xml:space="preserve"> as a dispute resolution mechanism</w:t>
      </w:r>
      <w:r w:rsidRPr="000A0BFB">
        <w:rPr>
          <w:rFonts w:ascii="Arial" w:hAnsi="Arial" w:cs="Arial"/>
        </w:rPr>
        <w:t>. This Committee facilitated the partnership</w:t>
      </w:r>
      <w:r w:rsidRPr="000A0BFB">
        <w:rPr>
          <w:rStyle w:val="FootnoteReference"/>
          <w:rFonts w:ascii="Arial" w:hAnsi="Arial" w:cs="Arial"/>
        </w:rPr>
        <w:footnoteReference w:id="23"/>
      </w:r>
      <w:r w:rsidR="00A510AC">
        <w:rPr>
          <w:rFonts w:ascii="Arial" w:hAnsi="Arial" w:cs="Arial"/>
        </w:rPr>
        <w:t>and</w:t>
      </w:r>
      <w:r w:rsidRPr="000A0BFB">
        <w:rPr>
          <w:rFonts w:ascii="Arial" w:hAnsi="Arial" w:cs="Arial"/>
        </w:rPr>
        <w:t xml:space="preserve"> consisted of one representative from the private sector, one from the tendering authority, and one independent expert agreed upon by both parties.</w:t>
      </w:r>
    </w:p>
    <w:p w:rsidR="00263C83" w:rsidRPr="00263C83" w:rsidRDefault="00263C83" w:rsidP="004A62BC">
      <w:pPr>
        <w:jc w:val="both"/>
        <w:rPr>
          <w:rFonts w:ascii="Arial" w:hAnsi="Arial" w:cs="Arial"/>
        </w:rPr>
      </w:pPr>
      <w:r>
        <w:rPr>
          <w:rFonts w:ascii="Arial" w:hAnsi="Arial" w:cs="Arial"/>
          <w:b/>
          <w:i/>
        </w:rPr>
        <w:t xml:space="preserve">Strong Local Counterparty: </w:t>
      </w:r>
      <w:r>
        <w:rPr>
          <w:rFonts w:ascii="Arial" w:hAnsi="Arial" w:cs="Arial"/>
        </w:rPr>
        <w:t>Although not a qualification criteria for bidding, the fact that the winning bidder was an established local company proved to be fortuitous in navigating and managing complex relationships with five different cabinet ministers who were parties to the contract. De</w:t>
      </w:r>
      <w:r w:rsidR="0058392B">
        <w:rPr>
          <w:rFonts w:ascii="Arial" w:hAnsi="Arial" w:cs="Arial"/>
        </w:rPr>
        <w:t>s</w:t>
      </w:r>
      <w:r>
        <w:rPr>
          <w:rFonts w:ascii="Arial" w:hAnsi="Arial" w:cs="Arial"/>
        </w:rPr>
        <w:t xml:space="preserve">pite the force majeure event of the Egypt revolution in 2011, the project </w:t>
      </w:r>
      <w:r w:rsidR="00B74E80">
        <w:rPr>
          <w:rFonts w:ascii="Arial" w:hAnsi="Arial" w:cs="Arial"/>
        </w:rPr>
        <w:t>was able to complete construction with relatively minimal delays.</w:t>
      </w:r>
    </w:p>
    <w:p w:rsidR="004A62BC" w:rsidRPr="000A0BFB" w:rsidRDefault="004A62BC" w:rsidP="004A62BC">
      <w:pPr>
        <w:jc w:val="both"/>
        <w:rPr>
          <w:rFonts w:ascii="Arial" w:hAnsi="Arial" w:cs="Arial"/>
        </w:rPr>
      </w:pPr>
      <w:r w:rsidRPr="000A0BFB">
        <w:rPr>
          <w:rFonts w:ascii="Arial" w:hAnsi="Arial" w:cs="Arial"/>
          <w:b/>
          <w:i/>
        </w:rPr>
        <w:t xml:space="preserve">Transparent Procurement: </w:t>
      </w:r>
      <w:r w:rsidRPr="000A0BFB">
        <w:rPr>
          <w:rFonts w:ascii="Arial" w:hAnsi="Arial" w:cs="Arial"/>
        </w:rPr>
        <w:t>There was a high level of transparency throughout the project. Knowledge around international PPPs and the wastewater sector combined with good international marketing and custom approaches to meet local market needs proved very successful</w:t>
      </w:r>
      <w:r w:rsidRPr="000A0BFB">
        <w:rPr>
          <w:rStyle w:val="FootnoteReference"/>
          <w:rFonts w:ascii="Arial" w:hAnsi="Arial" w:cs="Arial"/>
        </w:rPr>
        <w:footnoteReference w:id="24"/>
      </w:r>
      <w:r w:rsidRPr="000A0BFB">
        <w:rPr>
          <w:rFonts w:ascii="Arial" w:hAnsi="Arial" w:cs="Arial"/>
        </w:rPr>
        <w:t xml:space="preserve">. The PPP Central Unit also appointed a number of skilled advisors to guide and facilitate the signing of the PPP, including </w:t>
      </w:r>
      <w:r w:rsidR="00794AAB">
        <w:rPr>
          <w:rFonts w:ascii="Arial" w:hAnsi="Arial" w:cs="Arial"/>
        </w:rPr>
        <w:t xml:space="preserve">Lead Transaction Adviser from </w:t>
      </w:r>
      <w:r w:rsidRPr="000A0BFB">
        <w:rPr>
          <w:rFonts w:ascii="Arial" w:hAnsi="Arial" w:cs="Arial"/>
        </w:rPr>
        <w:t>IFC, and other technical consultants. Strong due diligence (legal, technical financial) was performed on all involved parties and terms developed, and there was a good understanding of the market.</w:t>
      </w:r>
    </w:p>
    <w:p w:rsidR="004313C2" w:rsidRPr="000A0BFB" w:rsidRDefault="00EF7F35" w:rsidP="00F2332A">
      <w:pPr>
        <w:jc w:val="both"/>
        <w:rPr>
          <w:rFonts w:ascii="Arial" w:hAnsi="Arial" w:cs="Arial"/>
        </w:rPr>
      </w:pPr>
      <w:r>
        <w:rPr>
          <w:rFonts w:ascii="Arial" w:hAnsi="Arial" w:cs="Arial"/>
          <w:b/>
          <w:i/>
        </w:rPr>
        <w:t>Appropriate Project Structuring</w:t>
      </w:r>
      <w:r w:rsidR="004313C2" w:rsidRPr="000A0BFB">
        <w:rPr>
          <w:rFonts w:ascii="Arial" w:hAnsi="Arial" w:cs="Arial"/>
        </w:rPr>
        <w:t xml:space="preserve">: </w:t>
      </w:r>
      <w:r w:rsidR="00F945C0">
        <w:rPr>
          <w:rFonts w:ascii="Arial" w:hAnsi="Arial" w:cs="Arial"/>
        </w:rPr>
        <w:t>Set against low appetite from investors, t</w:t>
      </w:r>
      <w:r w:rsidR="004313C2" w:rsidRPr="000A0BFB">
        <w:rPr>
          <w:rFonts w:ascii="Arial" w:hAnsi="Arial" w:cs="Arial"/>
        </w:rPr>
        <w:t xml:space="preserve">he New Cairo contract </w:t>
      </w:r>
      <w:r w:rsidR="00F945C0">
        <w:rPr>
          <w:rFonts w:ascii="Arial" w:hAnsi="Arial" w:cs="Arial"/>
        </w:rPr>
        <w:t xml:space="preserve">featured a number of demand and credit risk mitigation clauses.  The ‘take or pay’ clause was designed so that the only portion of revenues at stake is the variable operating expenses paid against volumes treated, while the majority of fixed operating costs, debt service and return are covered as fixed payments.  </w:t>
      </w:r>
      <w:r w:rsidR="00263C83">
        <w:rPr>
          <w:rFonts w:ascii="Arial" w:hAnsi="Arial" w:cs="Arial"/>
        </w:rPr>
        <w:t xml:space="preserve">The Ministry of Finance also underwrites the </w:t>
      </w:r>
      <w:r w:rsidR="00F945C0">
        <w:rPr>
          <w:rFonts w:ascii="Arial" w:hAnsi="Arial" w:cs="Arial"/>
        </w:rPr>
        <w:t xml:space="preserve">off-taker utility </w:t>
      </w:r>
      <w:r w:rsidR="00263C83">
        <w:rPr>
          <w:rFonts w:ascii="Arial" w:hAnsi="Arial" w:cs="Arial"/>
        </w:rPr>
        <w:t xml:space="preserve">for missed payments.  Operating costs as well as financing costs were also indexed to specific measure.  The contract </w:t>
      </w:r>
      <w:r w:rsidR="004313C2" w:rsidRPr="000A0BFB">
        <w:rPr>
          <w:rFonts w:ascii="Arial" w:hAnsi="Arial" w:cs="Arial"/>
        </w:rPr>
        <w:t>included re-equilibrium clauses. These clauses outlined the possibility for the private operator to request a re-exa</w:t>
      </w:r>
      <w:r w:rsidR="00617AC7" w:rsidRPr="000A0BFB">
        <w:rPr>
          <w:rFonts w:ascii="Arial" w:hAnsi="Arial" w:cs="Arial"/>
        </w:rPr>
        <w:t>mination of sewerage charges in</w:t>
      </w:r>
      <w:r w:rsidR="004313C2" w:rsidRPr="000A0BFB">
        <w:rPr>
          <w:rFonts w:ascii="Arial" w:hAnsi="Arial" w:cs="Arial"/>
        </w:rPr>
        <w:t xml:space="preserve"> case </w:t>
      </w:r>
      <w:r w:rsidR="00617AC7" w:rsidRPr="000A0BFB">
        <w:rPr>
          <w:rFonts w:ascii="Arial" w:hAnsi="Arial" w:cs="Arial"/>
        </w:rPr>
        <w:t xml:space="preserve">costs increased or revenue </w:t>
      </w:r>
      <w:r w:rsidR="00E156C5" w:rsidRPr="000A0BFB">
        <w:rPr>
          <w:rFonts w:ascii="Arial" w:hAnsi="Arial" w:cs="Arial"/>
        </w:rPr>
        <w:t xml:space="preserve">decreased </w:t>
      </w:r>
      <w:r w:rsidR="00617AC7" w:rsidRPr="000A0BFB">
        <w:rPr>
          <w:rFonts w:ascii="Arial" w:hAnsi="Arial" w:cs="Arial"/>
        </w:rPr>
        <w:t xml:space="preserve">due to foreseen events </w:t>
      </w:r>
      <w:r w:rsidR="007251DB" w:rsidRPr="000A0BFB">
        <w:rPr>
          <w:rFonts w:ascii="Arial" w:hAnsi="Arial" w:cs="Arial"/>
        </w:rPr>
        <w:t>decrease</w:t>
      </w:r>
      <w:r w:rsidR="00617AC7" w:rsidRPr="000A0BFB">
        <w:rPr>
          <w:rFonts w:ascii="Arial" w:hAnsi="Arial" w:cs="Arial"/>
        </w:rPr>
        <w:t xml:space="preserve">d. </w:t>
      </w:r>
      <w:r w:rsidR="007251DB" w:rsidRPr="000A0BFB">
        <w:rPr>
          <w:rFonts w:ascii="Arial" w:hAnsi="Arial" w:cs="Arial"/>
        </w:rPr>
        <w:t xml:space="preserve">The contract also </w:t>
      </w:r>
      <w:r w:rsidR="002703C4" w:rsidRPr="000A0BFB">
        <w:rPr>
          <w:rFonts w:ascii="Arial" w:hAnsi="Arial" w:cs="Arial"/>
        </w:rPr>
        <w:lastRenderedPageBreak/>
        <w:t>foresaw</w:t>
      </w:r>
      <w:r w:rsidR="007251DB" w:rsidRPr="000A0BFB">
        <w:rPr>
          <w:rFonts w:ascii="Arial" w:hAnsi="Arial" w:cs="Arial"/>
        </w:rPr>
        <w:t xml:space="preserve"> compensation in </w:t>
      </w:r>
      <w:r w:rsidR="002703C4" w:rsidRPr="000A0BFB">
        <w:rPr>
          <w:rFonts w:ascii="Arial" w:hAnsi="Arial" w:cs="Arial"/>
        </w:rPr>
        <w:t xml:space="preserve">the </w:t>
      </w:r>
      <w:r w:rsidR="007251DB" w:rsidRPr="000A0BFB">
        <w:rPr>
          <w:rFonts w:ascii="Arial" w:hAnsi="Arial" w:cs="Arial"/>
        </w:rPr>
        <w:t xml:space="preserve">case of </w:t>
      </w:r>
      <w:r w:rsidR="002703C4" w:rsidRPr="000A0BFB">
        <w:rPr>
          <w:rFonts w:ascii="Arial" w:hAnsi="Arial" w:cs="Arial"/>
        </w:rPr>
        <w:t xml:space="preserve">a </w:t>
      </w:r>
      <w:r w:rsidR="007251DB" w:rsidRPr="000A0BFB">
        <w:rPr>
          <w:rFonts w:ascii="Arial" w:hAnsi="Arial" w:cs="Arial"/>
        </w:rPr>
        <w:t xml:space="preserve">force majeure, change in law and termination of </w:t>
      </w:r>
      <w:r w:rsidR="002703C4" w:rsidRPr="000A0BFB">
        <w:rPr>
          <w:rFonts w:ascii="Arial" w:hAnsi="Arial" w:cs="Arial"/>
        </w:rPr>
        <w:t xml:space="preserve">the </w:t>
      </w:r>
      <w:r w:rsidR="007251DB" w:rsidRPr="000A0BFB">
        <w:rPr>
          <w:rFonts w:ascii="Arial" w:hAnsi="Arial" w:cs="Arial"/>
        </w:rPr>
        <w:t xml:space="preserve">contract. </w:t>
      </w:r>
    </w:p>
    <w:p w:rsidR="00C070AB" w:rsidRDefault="00C070AB" w:rsidP="00F2332A">
      <w:pPr>
        <w:jc w:val="both"/>
        <w:rPr>
          <w:rFonts w:ascii="Arial" w:hAnsi="Arial" w:cs="Arial"/>
          <w:b/>
          <w:i/>
        </w:rPr>
      </w:pPr>
    </w:p>
    <w:p w:rsidR="001A3782" w:rsidRPr="000A0BFB" w:rsidRDefault="001A3782" w:rsidP="00F2332A">
      <w:pPr>
        <w:jc w:val="both"/>
        <w:rPr>
          <w:rFonts w:ascii="Arial" w:hAnsi="Arial" w:cs="Arial"/>
          <w:b/>
          <w:i/>
        </w:rPr>
      </w:pPr>
    </w:p>
    <w:p w:rsidR="008C4669" w:rsidRPr="000A0BFB" w:rsidRDefault="008C4669" w:rsidP="00F2332A">
      <w:pPr>
        <w:pStyle w:val="Heading2"/>
        <w:jc w:val="both"/>
        <w:rPr>
          <w:rFonts w:ascii="Arial" w:hAnsi="Arial" w:cs="Arial"/>
          <w:color w:val="92D050"/>
          <w:sz w:val="22"/>
        </w:rPr>
      </w:pPr>
      <w:bookmarkStart w:id="9" w:name="_Toc404073792"/>
      <w:r w:rsidRPr="000A0BFB">
        <w:rPr>
          <w:rFonts w:ascii="Arial" w:hAnsi="Arial" w:cs="Arial"/>
          <w:color w:val="92D050"/>
          <w:sz w:val="24"/>
        </w:rPr>
        <w:t xml:space="preserve">Egypt: Sixth of October </w:t>
      </w:r>
      <w:bookmarkEnd w:id="9"/>
    </w:p>
    <w:p w:rsidR="005505E9" w:rsidRPr="000A0BFB" w:rsidRDefault="005505E9" w:rsidP="00F2332A">
      <w:pPr>
        <w:jc w:val="both"/>
        <w:rPr>
          <w:rFonts w:ascii="Arial" w:hAnsi="Arial" w:cs="Arial"/>
        </w:rPr>
      </w:pPr>
    </w:p>
    <w:p w:rsidR="00AD495C" w:rsidRPr="000A0BFB" w:rsidRDefault="00AD495C" w:rsidP="00F2332A">
      <w:pPr>
        <w:jc w:val="both"/>
        <w:rPr>
          <w:rFonts w:ascii="Arial" w:hAnsi="Arial" w:cs="Arial"/>
          <w:b/>
        </w:rPr>
      </w:pPr>
      <w:r w:rsidRPr="000A0BFB">
        <w:rPr>
          <w:rFonts w:ascii="Arial" w:hAnsi="Arial" w:cs="Arial"/>
          <w:b/>
        </w:rPr>
        <w:t>Project Overview</w:t>
      </w:r>
    </w:p>
    <w:p w:rsidR="00733D24" w:rsidRPr="000A0BFB" w:rsidRDefault="00733D24" w:rsidP="00F2332A">
      <w:pPr>
        <w:jc w:val="both"/>
        <w:rPr>
          <w:rFonts w:ascii="Arial" w:hAnsi="Arial" w:cs="Arial"/>
        </w:rPr>
      </w:pPr>
      <w:r w:rsidRPr="000A0BFB">
        <w:rPr>
          <w:rFonts w:ascii="Arial" w:hAnsi="Arial" w:cs="Arial"/>
        </w:rPr>
        <w:t xml:space="preserve">In 2009, one of Cairo’s </w:t>
      </w:r>
      <w:r w:rsidR="00B44DEF" w:rsidRPr="000A0BFB">
        <w:rPr>
          <w:rFonts w:ascii="Arial" w:hAnsi="Arial" w:cs="Arial"/>
        </w:rPr>
        <w:t>governorates</w:t>
      </w:r>
      <w:r w:rsidRPr="000A0BFB">
        <w:rPr>
          <w:rFonts w:ascii="Arial" w:hAnsi="Arial" w:cs="Arial"/>
        </w:rPr>
        <w:t>, “The 6th of October” had a population of 500,000 and was growing rapidly. The area’s population was estimated to increase to 3.7 to 5 million people by 2039. In anticipation of this expected population boom, the Government of Egypt sought to expand its wastewater treatment capacity</w:t>
      </w:r>
      <w:r w:rsidR="00105D96" w:rsidRPr="000A0BFB">
        <w:rPr>
          <w:rFonts w:ascii="Arial" w:hAnsi="Arial" w:cs="Arial"/>
        </w:rPr>
        <w:t xml:space="preserve"> in this governorate</w:t>
      </w:r>
      <w:r w:rsidRPr="000A0BFB">
        <w:rPr>
          <w:rFonts w:ascii="Arial" w:hAnsi="Arial" w:cs="Arial"/>
        </w:rPr>
        <w:t>.</w:t>
      </w:r>
      <w:r w:rsidRPr="000A0BFB">
        <w:rPr>
          <w:rStyle w:val="FootnoteReference"/>
          <w:rFonts w:ascii="Arial" w:hAnsi="Arial" w:cs="Arial"/>
        </w:rPr>
        <w:footnoteReference w:id="25"/>
      </w:r>
    </w:p>
    <w:p w:rsidR="00B44DEF" w:rsidRPr="000A0BFB" w:rsidRDefault="00733D24" w:rsidP="00F2332A">
      <w:pPr>
        <w:jc w:val="both"/>
        <w:rPr>
          <w:rFonts w:ascii="Arial" w:hAnsi="Arial" w:cs="Arial"/>
        </w:rPr>
      </w:pPr>
      <w:r w:rsidRPr="000A0BFB">
        <w:rPr>
          <w:rFonts w:ascii="Arial" w:hAnsi="Arial" w:cs="Arial"/>
        </w:rPr>
        <w:t>In December 2010</w:t>
      </w:r>
      <w:r w:rsidR="0087174D">
        <w:rPr>
          <w:rFonts w:ascii="Arial" w:hAnsi="Arial" w:cs="Arial"/>
        </w:rPr>
        <w:t>,</w:t>
      </w:r>
      <w:r w:rsidRPr="000A0BFB">
        <w:rPr>
          <w:rFonts w:ascii="Arial" w:hAnsi="Arial" w:cs="Arial"/>
        </w:rPr>
        <w:t xml:space="preserve"> the government invited bids for the</w:t>
      </w:r>
      <w:r w:rsidR="008C4669" w:rsidRPr="000A0BFB">
        <w:rPr>
          <w:rFonts w:ascii="Arial" w:hAnsi="Arial" w:cs="Arial"/>
        </w:rPr>
        <w:t xml:space="preserve"> design, </w:t>
      </w:r>
      <w:r w:rsidR="00C070AB">
        <w:rPr>
          <w:rFonts w:ascii="Arial" w:hAnsi="Arial" w:cs="Arial"/>
        </w:rPr>
        <w:t>construction</w:t>
      </w:r>
      <w:r w:rsidR="008C4669" w:rsidRPr="000A0BFB">
        <w:rPr>
          <w:rFonts w:ascii="Arial" w:hAnsi="Arial" w:cs="Arial"/>
        </w:rPr>
        <w:t>, financ</w:t>
      </w:r>
      <w:r w:rsidR="00C070AB">
        <w:rPr>
          <w:rFonts w:ascii="Arial" w:hAnsi="Arial" w:cs="Arial"/>
        </w:rPr>
        <w:t>ing</w:t>
      </w:r>
      <w:r w:rsidRPr="000A0BFB">
        <w:rPr>
          <w:rFonts w:ascii="Arial" w:hAnsi="Arial" w:cs="Arial"/>
        </w:rPr>
        <w:t>, operat</w:t>
      </w:r>
      <w:r w:rsidR="00C070AB">
        <w:rPr>
          <w:rFonts w:ascii="Arial" w:hAnsi="Arial" w:cs="Arial"/>
        </w:rPr>
        <w:t>ion</w:t>
      </w:r>
      <w:r w:rsidRPr="000A0BFB">
        <w:rPr>
          <w:rFonts w:ascii="Arial" w:hAnsi="Arial" w:cs="Arial"/>
        </w:rPr>
        <w:t>, and maintenance of a new wastewater treatment plant with a capacity of 150</w:t>
      </w:r>
      <w:r w:rsidR="00E72A88" w:rsidRPr="000A0BFB">
        <w:rPr>
          <w:rFonts w:ascii="Arial" w:hAnsi="Arial" w:cs="Arial"/>
        </w:rPr>
        <w:t>,</w:t>
      </w:r>
      <w:r w:rsidRPr="000A0BFB">
        <w:rPr>
          <w:rFonts w:ascii="Arial" w:hAnsi="Arial" w:cs="Arial"/>
        </w:rPr>
        <w:t>000 m</w:t>
      </w:r>
      <w:r w:rsidR="00E72A88" w:rsidRPr="000A0BFB">
        <w:rPr>
          <w:rFonts w:ascii="Arial" w:hAnsi="Arial" w:cs="Arial"/>
          <w:vertAlign w:val="superscript"/>
        </w:rPr>
        <w:t>3</w:t>
      </w:r>
      <w:r w:rsidRPr="000A0BFB">
        <w:rPr>
          <w:rFonts w:ascii="Arial" w:hAnsi="Arial" w:cs="Arial"/>
        </w:rPr>
        <w:t xml:space="preserve">/day in the </w:t>
      </w:r>
      <w:r w:rsidR="008C4669" w:rsidRPr="000A0BFB">
        <w:rPr>
          <w:rFonts w:ascii="Arial" w:hAnsi="Arial" w:cs="Arial"/>
        </w:rPr>
        <w:t xml:space="preserve">Sixth of October </w:t>
      </w:r>
      <w:r w:rsidRPr="000A0BFB">
        <w:rPr>
          <w:rFonts w:ascii="Arial" w:hAnsi="Arial" w:cs="Arial"/>
        </w:rPr>
        <w:t>governorate</w:t>
      </w:r>
      <w:r w:rsidR="008C4669" w:rsidRPr="000A0BFB">
        <w:rPr>
          <w:rFonts w:ascii="Arial" w:hAnsi="Arial" w:cs="Arial"/>
        </w:rPr>
        <w:t xml:space="preserve">. </w:t>
      </w:r>
      <w:r w:rsidR="00B44DEF" w:rsidRPr="000A0BFB">
        <w:rPr>
          <w:rFonts w:ascii="Arial" w:hAnsi="Arial" w:cs="Arial"/>
        </w:rPr>
        <w:t>The budget for the 30-year project wa</w:t>
      </w:r>
      <w:r w:rsidRPr="000A0BFB">
        <w:rPr>
          <w:rFonts w:ascii="Arial" w:hAnsi="Arial" w:cs="Arial"/>
        </w:rPr>
        <w:t>s $300 million.</w:t>
      </w:r>
      <w:r w:rsidRPr="000A0BFB">
        <w:rPr>
          <w:rStyle w:val="FootnoteReference"/>
          <w:rFonts w:ascii="Arial" w:hAnsi="Arial" w:cs="Arial"/>
        </w:rPr>
        <w:footnoteReference w:id="26"/>
      </w:r>
    </w:p>
    <w:p w:rsidR="00B44DEF" w:rsidRPr="000A0BFB" w:rsidRDefault="00B44DEF" w:rsidP="00F2332A">
      <w:pPr>
        <w:jc w:val="both"/>
        <w:rPr>
          <w:rFonts w:ascii="Arial" w:hAnsi="Arial" w:cs="Arial"/>
        </w:rPr>
      </w:pPr>
      <w:r w:rsidRPr="000A0BFB">
        <w:rPr>
          <w:rFonts w:ascii="Arial" w:hAnsi="Arial" w:cs="Arial"/>
        </w:rPr>
        <w:t xml:space="preserve">Much thought was given to the procurement process, which </w:t>
      </w:r>
      <w:r w:rsidR="008820E6">
        <w:rPr>
          <w:rFonts w:ascii="Arial" w:hAnsi="Arial" w:cs="Arial"/>
        </w:rPr>
        <w:t>involved</w:t>
      </w:r>
      <w:r w:rsidRPr="000A0BFB">
        <w:rPr>
          <w:rFonts w:ascii="Arial" w:hAnsi="Arial" w:cs="Arial"/>
        </w:rPr>
        <w:t>: (a) broad dissemination of the opportunities to potential private service providers and investors in Egypt and abroad; (b) high quality project preparation with the assistance of external transaction advisors, lawyers and technical consultants; and (c) fair and transparent procedures for prequalification, investor due diligence and tender award. Under the PPP contract, the private awardee would receive periodic availability payments tied to the quality of delivery and performance, which would be regularly monitored and reported.</w:t>
      </w:r>
      <w:r w:rsidRPr="000A0BFB">
        <w:rPr>
          <w:rStyle w:val="FootnoteReference"/>
          <w:rFonts w:ascii="Arial" w:hAnsi="Arial" w:cs="Arial"/>
        </w:rPr>
        <w:footnoteReference w:id="27"/>
      </w:r>
    </w:p>
    <w:p w:rsidR="00AD495C" w:rsidRPr="000A0BFB" w:rsidRDefault="00AD495C" w:rsidP="00F2332A">
      <w:pPr>
        <w:jc w:val="both"/>
        <w:rPr>
          <w:rFonts w:ascii="Arial" w:hAnsi="Arial" w:cs="Arial"/>
          <w:b/>
        </w:rPr>
      </w:pPr>
      <w:r w:rsidRPr="000A0BFB">
        <w:rPr>
          <w:rFonts w:ascii="Arial" w:hAnsi="Arial" w:cs="Arial"/>
          <w:b/>
        </w:rPr>
        <w:t>Noteworthy Outcomes</w:t>
      </w:r>
    </w:p>
    <w:p w:rsidR="008C4669" w:rsidRPr="000A0BFB" w:rsidRDefault="00745773" w:rsidP="00F2332A">
      <w:pPr>
        <w:jc w:val="both"/>
        <w:rPr>
          <w:rFonts w:ascii="Arial" w:hAnsi="Arial" w:cs="Arial"/>
        </w:rPr>
      </w:pPr>
      <w:r w:rsidRPr="000A0BFB">
        <w:rPr>
          <w:rFonts w:ascii="Arial" w:hAnsi="Arial" w:cs="Arial"/>
        </w:rPr>
        <w:t>Although t</w:t>
      </w:r>
      <w:r w:rsidR="00733D24" w:rsidRPr="000A0BFB">
        <w:rPr>
          <w:rFonts w:ascii="Arial" w:hAnsi="Arial" w:cs="Arial"/>
        </w:rPr>
        <w:t xml:space="preserve">en </w:t>
      </w:r>
      <w:r w:rsidRPr="000A0BFB">
        <w:rPr>
          <w:rFonts w:ascii="Arial" w:hAnsi="Arial" w:cs="Arial"/>
        </w:rPr>
        <w:t xml:space="preserve">bidders </w:t>
      </w:r>
      <w:r w:rsidR="008C4669" w:rsidRPr="000A0BFB">
        <w:rPr>
          <w:rFonts w:ascii="Arial" w:hAnsi="Arial" w:cs="Arial"/>
        </w:rPr>
        <w:t>pr</w:t>
      </w:r>
      <w:r w:rsidR="00733D24" w:rsidRPr="000A0BFB">
        <w:rPr>
          <w:rFonts w:ascii="Arial" w:hAnsi="Arial" w:cs="Arial"/>
        </w:rPr>
        <w:t>equalified</w:t>
      </w:r>
      <w:r w:rsidRPr="000A0BFB">
        <w:rPr>
          <w:rFonts w:ascii="Arial" w:hAnsi="Arial" w:cs="Arial"/>
        </w:rPr>
        <w:t xml:space="preserve">, </w:t>
      </w:r>
      <w:r w:rsidR="008C4669" w:rsidRPr="000A0BFB">
        <w:rPr>
          <w:rFonts w:ascii="Arial" w:hAnsi="Arial" w:cs="Arial"/>
        </w:rPr>
        <w:t xml:space="preserve">the government decided not to proceed with the project due to </w:t>
      </w:r>
      <w:r w:rsidRPr="000A0BFB">
        <w:rPr>
          <w:rFonts w:ascii="Arial" w:hAnsi="Arial" w:cs="Arial"/>
        </w:rPr>
        <w:t>challengescaused by</w:t>
      </w:r>
      <w:r w:rsidR="008C4669" w:rsidRPr="000A0BFB">
        <w:rPr>
          <w:rFonts w:ascii="Arial" w:hAnsi="Arial" w:cs="Arial"/>
        </w:rPr>
        <w:t xml:space="preserve"> the </w:t>
      </w:r>
      <w:r w:rsidRPr="000A0BFB">
        <w:rPr>
          <w:rFonts w:ascii="Arial" w:hAnsi="Arial" w:cs="Arial"/>
        </w:rPr>
        <w:t xml:space="preserve">large amount of </w:t>
      </w:r>
      <w:r w:rsidR="008C4669" w:rsidRPr="000A0BFB">
        <w:rPr>
          <w:rFonts w:ascii="Arial" w:hAnsi="Arial" w:cs="Arial"/>
        </w:rPr>
        <w:t xml:space="preserve">industrial </w:t>
      </w:r>
      <w:r w:rsidR="005505E9" w:rsidRPr="000A0BFB">
        <w:rPr>
          <w:rFonts w:ascii="Arial" w:hAnsi="Arial" w:cs="Arial"/>
        </w:rPr>
        <w:t xml:space="preserve">wastewater </w:t>
      </w:r>
      <w:r w:rsidRPr="000A0BFB">
        <w:rPr>
          <w:rFonts w:ascii="Arial" w:hAnsi="Arial" w:cs="Arial"/>
        </w:rPr>
        <w:t xml:space="preserve">in the system requiring costly pre-treatment. In addition to these technical and cost issues, the project faced </w:t>
      </w:r>
      <w:r w:rsidR="005505E9" w:rsidRPr="000A0BFB">
        <w:rPr>
          <w:rFonts w:ascii="Arial" w:hAnsi="Arial" w:cs="Arial"/>
        </w:rPr>
        <w:t xml:space="preserve">delays </w:t>
      </w:r>
      <w:r w:rsidRPr="000A0BFB">
        <w:rPr>
          <w:rFonts w:ascii="Arial" w:hAnsi="Arial" w:cs="Arial"/>
        </w:rPr>
        <w:t>due to</w:t>
      </w:r>
      <w:r w:rsidR="008C4669" w:rsidRPr="000A0BFB">
        <w:rPr>
          <w:rFonts w:ascii="Arial" w:hAnsi="Arial" w:cs="Arial"/>
        </w:rPr>
        <w:t xml:space="preserve"> the political e</w:t>
      </w:r>
      <w:r w:rsidR="005505E9" w:rsidRPr="000A0BFB">
        <w:rPr>
          <w:rFonts w:ascii="Arial" w:hAnsi="Arial" w:cs="Arial"/>
        </w:rPr>
        <w:t xml:space="preserve">ffects of the Arab Spring riots. </w:t>
      </w:r>
      <w:r w:rsidR="008C4669" w:rsidRPr="000A0BFB">
        <w:rPr>
          <w:rFonts w:ascii="Arial" w:hAnsi="Arial" w:cs="Arial"/>
        </w:rPr>
        <w:t xml:space="preserve">The project was </w:t>
      </w:r>
      <w:r w:rsidRPr="000A0BFB">
        <w:rPr>
          <w:rFonts w:ascii="Arial" w:hAnsi="Arial" w:cs="Arial"/>
        </w:rPr>
        <w:t xml:space="preserve">eventually </w:t>
      </w:r>
      <w:r w:rsidR="008C4669" w:rsidRPr="000A0BFB">
        <w:rPr>
          <w:rFonts w:ascii="Arial" w:hAnsi="Arial" w:cs="Arial"/>
        </w:rPr>
        <w:t>cancelled in May 2012.</w:t>
      </w:r>
      <w:r w:rsidR="008C4669" w:rsidRPr="000A0BFB">
        <w:rPr>
          <w:rStyle w:val="FootnoteReference"/>
          <w:rFonts w:ascii="Arial" w:hAnsi="Arial" w:cs="Arial"/>
        </w:rPr>
        <w:footnoteReference w:id="28"/>
      </w:r>
    </w:p>
    <w:p w:rsidR="00262C1B" w:rsidRPr="000A0BFB" w:rsidRDefault="00873CD3" w:rsidP="00F2332A">
      <w:pPr>
        <w:jc w:val="both"/>
        <w:rPr>
          <w:rFonts w:ascii="Arial" w:hAnsi="Arial" w:cs="Arial"/>
          <w:b/>
        </w:rPr>
      </w:pPr>
      <w:r>
        <w:rPr>
          <w:rFonts w:ascii="Arial" w:hAnsi="Arial" w:cs="Arial"/>
          <w:b/>
        </w:rPr>
        <w:t xml:space="preserve">Key </w:t>
      </w:r>
      <w:r w:rsidR="0048559D">
        <w:rPr>
          <w:rFonts w:ascii="Arial" w:hAnsi="Arial" w:cs="Arial"/>
          <w:b/>
        </w:rPr>
        <w:t xml:space="preserve">Success </w:t>
      </w:r>
      <w:r w:rsidR="00262C1B" w:rsidRPr="000A0BFB">
        <w:rPr>
          <w:rFonts w:ascii="Arial" w:hAnsi="Arial" w:cs="Arial"/>
          <w:b/>
        </w:rPr>
        <w:t xml:space="preserve">Factors </w:t>
      </w:r>
    </w:p>
    <w:p w:rsidR="007D362E" w:rsidRPr="00C04A46" w:rsidRDefault="007D362E" w:rsidP="00F2332A">
      <w:pPr>
        <w:jc w:val="both"/>
        <w:rPr>
          <w:rFonts w:ascii="Arial" w:hAnsi="Arial" w:cs="Arial"/>
        </w:rPr>
      </w:pPr>
      <w:r w:rsidRPr="00C04A46">
        <w:rPr>
          <w:rFonts w:ascii="Arial" w:hAnsi="Arial" w:cs="Arial"/>
        </w:rPr>
        <w:t xml:space="preserve">Although the project did not move forward, </w:t>
      </w:r>
      <w:r w:rsidR="00A0371B">
        <w:rPr>
          <w:rFonts w:ascii="Arial" w:hAnsi="Arial" w:cs="Arial"/>
        </w:rPr>
        <w:t xml:space="preserve">it did enjoy elements of success such as a strong market response. This was </w:t>
      </w:r>
      <w:r>
        <w:rPr>
          <w:rFonts w:ascii="Arial" w:hAnsi="Arial" w:cs="Arial"/>
        </w:rPr>
        <w:t>based largely on:</w:t>
      </w:r>
    </w:p>
    <w:p w:rsidR="008170DC" w:rsidRPr="000A0BFB" w:rsidRDefault="00EF7F35" w:rsidP="00F2332A">
      <w:pPr>
        <w:jc w:val="both"/>
        <w:rPr>
          <w:rFonts w:ascii="Arial" w:hAnsi="Arial" w:cs="Arial"/>
          <w:b/>
          <w:i/>
        </w:rPr>
      </w:pPr>
      <w:r>
        <w:rPr>
          <w:rFonts w:ascii="Arial" w:hAnsi="Arial" w:cs="Arial"/>
          <w:b/>
          <w:i/>
        </w:rPr>
        <w:t>Stakeholder Participation and Coordination</w:t>
      </w:r>
      <w:r w:rsidR="008170DC" w:rsidRPr="000A0BFB">
        <w:rPr>
          <w:rFonts w:ascii="Arial" w:hAnsi="Arial" w:cs="Arial"/>
          <w:b/>
          <w:i/>
        </w:rPr>
        <w:t xml:space="preserve">: </w:t>
      </w:r>
      <w:r w:rsidR="008170DC" w:rsidRPr="000A0BFB">
        <w:rPr>
          <w:rFonts w:ascii="Arial" w:hAnsi="Arial" w:cs="Arial"/>
        </w:rPr>
        <w:t xml:space="preserve">The contract </w:t>
      </w:r>
      <w:r w:rsidR="0074339B" w:rsidRPr="000A0BFB">
        <w:rPr>
          <w:rFonts w:ascii="Arial" w:hAnsi="Arial" w:cs="Arial"/>
        </w:rPr>
        <w:t>had</w:t>
      </w:r>
      <w:r w:rsidR="00714753">
        <w:rPr>
          <w:rFonts w:ascii="Arial" w:hAnsi="Arial" w:cs="Arial"/>
        </w:rPr>
        <w:t xml:space="preserve"> ten</w:t>
      </w:r>
      <w:r w:rsidR="008170DC" w:rsidRPr="000A0BFB">
        <w:rPr>
          <w:rFonts w:ascii="Arial" w:hAnsi="Arial" w:cs="Arial"/>
        </w:rPr>
        <w:t xml:space="preserve"> qualified bidders, demonstrating the private sector interest in wastewater PPPs.</w:t>
      </w:r>
    </w:p>
    <w:p w:rsidR="00AD495C" w:rsidRDefault="00EF7F35" w:rsidP="00F2332A">
      <w:pPr>
        <w:jc w:val="both"/>
        <w:rPr>
          <w:rFonts w:ascii="Arial" w:hAnsi="Arial" w:cs="Arial"/>
        </w:rPr>
      </w:pPr>
      <w:r>
        <w:rPr>
          <w:rFonts w:ascii="Arial" w:hAnsi="Arial" w:cs="Arial"/>
          <w:b/>
          <w:i/>
        </w:rPr>
        <w:lastRenderedPageBreak/>
        <w:t>Appropriate Project Structuring</w:t>
      </w:r>
      <w:r w:rsidR="005505E9" w:rsidRPr="000A0BFB">
        <w:rPr>
          <w:rFonts w:ascii="Arial" w:hAnsi="Arial" w:cs="Arial"/>
          <w:b/>
          <w:i/>
        </w:rPr>
        <w:t>:</w:t>
      </w:r>
      <w:r w:rsidR="0058392B">
        <w:rPr>
          <w:rFonts w:ascii="Arial" w:hAnsi="Arial" w:cs="Arial"/>
          <w:b/>
          <w:i/>
        </w:rPr>
        <w:t xml:space="preserve"> </w:t>
      </w:r>
      <w:r w:rsidR="00C64753" w:rsidRPr="000A0BFB">
        <w:rPr>
          <w:rFonts w:ascii="Arial" w:hAnsi="Arial" w:cs="Arial"/>
        </w:rPr>
        <w:t xml:space="preserve">The need </w:t>
      </w:r>
      <w:r w:rsidR="008C4669" w:rsidRPr="000A0BFB">
        <w:rPr>
          <w:rFonts w:ascii="Arial" w:hAnsi="Arial" w:cs="Arial"/>
        </w:rPr>
        <w:t xml:space="preserve">for strong technical, financial and legal due diligence prior to the start of the project </w:t>
      </w:r>
      <w:r w:rsidR="00C64753" w:rsidRPr="000A0BFB">
        <w:rPr>
          <w:rFonts w:ascii="Arial" w:hAnsi="Arial" w:cs="Arial"/>
        </w:rPr>
        <w:t xml:space="preserve">was critical to </w:t>
      </w:r>
      <w:r w:rsidR="008C4669" w:rsidRPr="000A0BFB">
        <w:rPr>
          <w:rFonts w:ascii="Arial" w:hAnsi="Arial" w:cs="Arial"/>
        </w:rPr>
        <w:t>ensure sustainability</w:t>
      </w:r>
      <w:r w:rsidR="00586C33" w:rsidRPr="000A0BFB">
        <w:rPr>
          <w:rFonts w:ascii="Arial" w:hAnsi="Arial" w:cs="Arial"/>
        </w:rPr>
        <w:t>, or in this case, determine the unfeasibility of the costs</w:t>
      </w:r>
      <w:r w:rsidR="00C64753" w:rsidRPr="000A0BFB">
        <w:rPr>
          <w:rFonts w:ascii="Arial" w:hAnsi="Arial" w:cs="Arial"/>
        </w:rPr>
        <w:t>.</w:t>
      </w:r>
    </w:p>
    <w:p w:rsidR="00C070AB" w:rsidRDefault="00C070AB" w:rsidP="00F2332A">
      <w:pPr>
        <w:jc w:val="both"/>
        <w:rPr>
          <w:rFonts w:ascii="Arial" w:hAnsi="Arial" w:cs="Arial"/>
        </w:rPr>
      </w:pPr>
    </w:p>
    <w:p w:rsidR="00C070AB" w:rsidRPr="000A0BFB" w:rsidRDefault="00C070AB" w:rsidP="00F2332A">
      <w:pPr>
        <w:jc w:val="both"/>
        <w:rPr>
          <w:rFonts w:ascii="Arial" w:hAnsi="Arial" w:cs="Arial"/>
        </w:rPr>
      </w:pPr>
    </w:p>
    <w:p w:rsidR="002A26EB" w:rsidRPr="000A0BFB" w:rsidRDefault="002A26EB" w:rsidP="00F2332A">
      <w:pPr>
        <w:pStyle w:val="Heading2"/>
        <w:jc w:val="both"/>
        <w:rPr>
          <w:rFonts w:ascii="Arial" w:hAnsi="Arial" w:cs="Arial"/>
          <w:color w:val="92D050"/>
          <w:sz w:val="24"/>
        </w:rPr>
      </w:pPr>
      <w:bookmarkStart w:id="10" w:name="_Toc404073793"/>
      <w:r w:rsidRPr="000A0BFB">
        <w:rPr>
          <w:rFonts w:ascii="Arial" w:hAnsi="Arial" w:cs="Arial"/>
          <w:color w:val="92D050"/>
          <w:sz w:val="24"/>
        </w:rPr>
        <w:t xml:space="preserve">Senegal: ONAS outsources wastewater </w:t>
      </w:r>
      <w:r w:rsidR="007521EB" w:rsidRPr="000A0BFB">
        <w:rPr>
          <w:rFonts w:ascii="Arial" w:hAnsi="Arial" w:cs="Arial"/>
          <w:color w:val="92D050"/>
          <w:sz w:val="24"/>
        </w:rPr>
        <w:t>management</w:t>
      </w:r>
      <w:bookmarkEnd w:id="10"/>
    </w:p>
    <w:p w:rsidR="00E856D6" w:rsidRPr="000A0BFB" w:rsidRDefault="00E856D6" w:rsidP="00F2332A">
      <w:pPr>
        <w:jc w:val="both"/>
        <w:rPr>
          <w:rFonts w:ascii="Arial" w:hAnsi="Arial" w:cs="Arial"/>
          <w:color w:val="221E1F"/>
        </w:rPr>
      </w:pPr>
    </w:p>
    <w:p w:rsidR="00AD495C" w:rsidRPr="000A0BFB" w:rsidRDefault="00AD495C" w:rsidP="00F2332A">
      <w:pPr>
        <w:jc w:val="both"/>
        <w:rPr>
          <w:rFonts w:ascii="Arial" w:hAnsi="Arial" w:cs="Arial"/>
          <w:b/>
          <w:color w:val="221E1F"/>
        </w:rPr>
      </w:pPr>
      <w:r w:rsidRPr="000A0BFB">
        <w:rPr>
          <w:rFonts w:ascii="Arial" w:hAnsi="Arial" w:cs="Arial"/>
          <w:b/>
          <w:color w:val="221E1F"/>
        </w:rPr>
        <w:t>Project Overview</w:t>
      </w:r>
    </w:p>
    <w:p w:rsidR="00012525" w:rsidRPr="000A0BFB" w:rsidRDefault="000921EF" w:rsidP="00F2332A">
      <w:pPr>
        <w:jc w:val="both"/>
        <w:rPr>
          <w:rFonts w:ascii="Arial" w:hAnsi="Arial" w:cs="Arial"/>
        </w:rPr>
      </w:pPr>
      <w:r w:rsidRPr="000A0BFB">
        <w:rPr>
          <w:rFonts w:ascii="Arial" w:hAnsi="Arial" w:cs="Arial"/>
        </w:rPr>
        <w:t>Senegal’s cities, including its capital, Dakar,</w:t>
      </w:r>
      <w:r w:rsidR="00012525" w:rsidRPr="000A0BFB">
        <w:rPr>
          <w:rFonts w:ascii="Arial" w:hAnsi="Arial" w:cs="Arial"/>
        </w:rPr>
        <w:t xml:space="preserve"> have struggled to increase access to improved sanitation services to </w:t>
      </w:r>
      <w:r w:rsidRPr="000A0BFB">
        <w:rPr>
          <w:rFonts w:ascii="Arial" w:hAnsi="Arial" w:cs="Arial"/>
        </w:rPr>
        <w:t xml:space="preserve">their </w:t>
      </w:r>
      <w:r w:rsidR="00012525" w:rsidRPr="000A0BFB">
        <w:rPr>
          <w:rFonts w:ascii="Arial" w:hAnsi="Arial" w:cs="Arial"/>
        </w:rPr>
        <w:t xml:space="preserve">poor urban and peri-urban communities. The Office of National Urban Sanitation (ONAS) provides services to about 15 cities in Senegal, mostly via a traditional system of sewage pipes and household connections. However, ONAS does not have all the </w:t>
      </w:r>
      <w:r w:rsidR="00586C33" w:rsidRPr="000A0BFB">
        <w:rPr>
          <w:rFonts w:ascii="Arial" w:hAnsi="Arial" w:cs="Arial"/>
        </w:rPr>
        <w:t xml:space="preserve">means </w:t>
      </w:r>
      <w:r w:rsidR="00012525" w:rsidRPr="000A0BFB">
        <w:rPr>
          <w:rFonts w:ascii="Arial" w:hAnsi="Arial" w:cs="Arial"/>
        </w:rPr>
        <w:t xml:space="preserve">necessary to operate in </w:t>
      </w:r>
      <w:r w:rsidR="007A600E">
        <w:rPr>
          <w:rFonts w:ascii="Arial" w:hAnsi="Arial" w:cs="Arial"/>
        </w:rPr>
        <w:t xml:space="preserve">densely populated, unplanned </w:t>
      </w:r>
      <w:r w:rsidRPr="000A0BFB">
        <w:rPr>
          <w:rFonts w:ascii="Arial" w:hAnsi="Arial" w:cs="Arial"/>
        </w:rPr>
        <w:t xml:space="preserve">urban areas </w:t>
      </w:r>
      <w:r w:rsidR="007A600E">
        <w:rPr>
          <w:rFonts w:ascii="Arial" w:hAnsi="Arial" w:cs="Arial"/>
        </w:rPr>
        <w:t>with</w:t>
      </w:r>
      <w:r w:rsidRPr="000A0BFB">
        <w:rPr>
          <w:rFonts w:ascii="Arial" w:hAnsi="Arial" w:cs="Arial"/>
        </w:rPr>
        <w:t xml:space="preserve"> limited infrastructure</w:t>
      </w:r>
      <w:r w:rsidR="007A600E">
        <w:rPr>
          <w:rFonts w:ascii="Arial" w:hAnsi="Arial" w:cs="Arial"/>
        </w:rPr>
        <w:t xml:space="preserve"> that </w:t>
      </w:r>
      <w:r w:rsidR="00012525" w:rsidRPr="000A0BFB">
        <w:rPr>
          <w:rFonts w:ascii="Arial" w:hAnsi="Arial" w:cs="Arial"/>
        </w:rPr>
        <w:t xml:space="preserve">require less conventional systems. </w:t>
      </w:r>
    </w:p>
    <w:p w:rsidR="000921EF" w:rsidRPr="000A0BFB" w:rsidRDefault="000921EF" w:rsidP="00F2332A">
      <w:pPr>
        <w:jc w:val="both"/>
        <w:rPr>
          <w:rFonts w:ascii="Arial" w:hAnsi="Arial" w:cs="Arial"/>
        </w:rPr>
      </w:pPr>
      <w:r w:rsidRPr="000A0BFB">
        <w:rPr>
          <w:rFonts w:ascii="Arial" w:hAnsi="Arial" w:cs="Arial"/>
        </w:rPr>
        <w:t xml:space="preserve">ONAS has decided to engage the private sector </w:t>
      </w:r>
      <w:r w:rsidR="006015AA" w:rsidRPr="000A0BFB">
        <w:rPr>
          <w:rFonts w:ascii="Arial" w:hAnsi="Arial" w:cs="Arial"/>
        </w:rPr>
        <w:t xml:space="preserve">to improve </w:t>
      </w:r>
      <w:r w:rsidRPr="000A0BFB">
        <w:rPr>
          <w:rFonts w:ascii="Arial" w:hAnsi="Arial" w:cs="Arial"/>
        </w:rPr>
        <w:t>access to</w:t>
      </w:r>
      <w:r w:rsidR="006015AA" w:rsidRPr="000A0BFB">
        <w:rPr>
          <w:rFonts w:ascii="Arial" w:hAnsi="Arial" w:cs="Arial"/>
        </w:rPr>
        <w:t xml:space="preserve"> sanitation services in </w:t>
      </w:r>
      <w:r w:rsidRPr="000A0BFB">
        <w:rPr>
          <w:rFonts w:ascii="Arial" w:hAnsi="Arial" w:cs="Arial"/>
        </w:rPr>
        <w:t xml:space="preserve">Dakar and its </w:t>
      </w:r>
      <w:r w:rsidR="006015AA" w:rsidRPr="000A0BFB">
        <w:rPr>
          <w:rFonts w:ascii="Arial" w:hAnsi="Arial" w:cs="Arial"/>
        </w:rPr>
        <w:t xml:space="preserve">outlying areas. </w:t>
      </w:r>
      <w:r w:rsidRPr="000A0BFB">
        <w:rPr>
          <w:rFonts w:ascii="Arial" w:hAnsi="Arial" w:cs="Arial"/>
        </w:rPr>
        <w:t>A collaborative effort between ONAS, local communities and authorities, and technical consultants was launched</w:t>
      </w:r>
      <w:r w:rsidR="007A600E">
        <w:rPr>
          <w:rFonts w:ascii="Arial" w:hAnsi="Arial" w:cs="Arial"/>
        </w:rPr>
        <w:t xml:space="preserve"> and supported by the World Bank</w:t>
      </w:r>
      <w:r w:rsidR="0058392B">
        <w:rPr>
          <w:rFonts w:ascii="Arial" w:hAnsi="Arial" w:cs="Arial"/>
        </w:rPr>
        <w:t xml:space="preserve"> </w:t>
      </w:r>
      <w:r w:rsidR="00586C33" w:rsidRPr="000A0BFB">
        <w:rPr>
          <w:rFonts w:ascii="Arial" w:hAnsi="Arial" w:cs="Arial"/>
        </w:rPr>
        <w:t xml:space="preserve">in 2013 </w:t>
      </w:r>
      <w:r w:rsidRPr="000A0BFB">
        <w:rPr>
          <w:rFonts w:ascii="Arial" w:hAnsi="Arial" w:cs="Arial"/>
        </w:rPr>
        <w:t>to d</w:t>
      </w:r>
      <w:r w:rsidR="006015AA" w:rsidRPr="000A0BFB">
        <w:rPr>
          <w:rFonts w:ascii="Arial" w:hAnsi="Arial" w:cs="Arial"/>
        </w:rPr>
        <w:t>efine and establish a mechanism for delegated management of semi-collective was</w:t>
      </w:r>
      <w:r w:rsidR="00597909" w:rsidRPr="000A0BFB">
        <w:rPr>
          <w:rFonts w:ascii="Arial" w:hAnsi="Arial" w:cs="Arial"/>
        </w:rPr>
        <w:t>tewater systems</w:t>
      </w:r>
      <w:r w:rsidR="00586C33" w:rsidRPr="000A0BFB">
        <w:rPr>
          <w:rFonts w:ascii="Arial" w:hAnsi="Arial" w:cs="Arial"/>
        </w:rPr>
        <w:t xml:space="preserve"> in unserved urban areas</w:t>
      </w:r>
      <w:r w:rsidR="00E856D6" w:rsidRPr="000A0BFB">
        <w:rPr>
          <w:rFonts w:ascii="Arial" w:hAnsi="Arial" w:cs="Arial"/>
        </w:rPr>
        <w:t xml:space="preserve">. </w:t>
      </w:r>
      <w:r w:rsidR="006015AA" w:rsidRPr="000A0BFB">
        <w:rPr>
          <w:rFonts w:ascii="Arial" w:hAnsi="Arial" w:cs="Arial"/>
        </w:rPr>
        <w:t xml:space="preserve">In the new </w:t>
      </w:r>
      <w:r w:rsidRPr="000A0BFB">
        <w:rPr>
          <w:rFonts w:ascii="Arial" w:hAnsi="Arial" w:cs="Arial"/>
        </w:rPr>
        <w:t>semi-collective</w:t>
      </w:r>
      <w:r w:rsidR="006015AA" w:rsidRPr="000A0BFB">
        <w:rPr>
          <w:rFonts w:ascii="Arial" w:hAnsi="Arial" w:cs="Arial"/>
        </w:rPr>
        <w:t xml:space="preserve"> system, ONAS will outsource</w:t>
      </w:r>
      <w:r w:rsidR="007A600E">
        <w:rPr>
          <w:rFonts w:ascii="Arial" w:hAnsi="Arial" w:cs="Arial"/>
        </w:rPr>
        <w:t xml:space="preserve"> wastewater collection</w:t>
      </w:r>
      <w:r w:rsidR="006015AA" w:rsidRPr="000A0BFB">
        <w:rPr>
          <w:rFonts w:ascii="Arial" w:hAnsi="Arial" w:cs="Arial"/>
        </w:rPr>
        <w:t xml:space="preserve"> op</w:t>
      </w:r>
      <w:r w:rsidR="00E856D6" w:rsidRPr="000A0BFB">
        <w:rPr>
          <w:rFonts w:ascii="Arial" w:hAnsi="Arial" w:cs="Arial"/>
        </w:rPr>
        <w:t>erations and</w:t>
      </w:r>
      <w:r w:rsidR="006015AA" w:rsidRPr="000A0BFB">
        <w:rPr>
          <w:rFonts w:ascii="Arial" w:hAnsi="Arial" w:cs="Arial"/>
        </w:rPr>
        <w:t xml:space="preserve"> maintenance to private </w:t>
      </w:r>
      <w:r w:rsidR="00E856D6" w:rsidRPr="000A0BFB">
        <w:rPr>
          <w:rFonts w:ascii="Arial" w:hAnsi="Arial" w:cs="Arial"/>
        </w:rPr>
        <w:t>operators and collaborate with community m</w:t>
      </w:r>
      <w:r w:rsidR="006015AA" w:rsidRPr="000A0BFB">
        <w:rPr>
          <w:rFonts w:ascii="Arial" w:hAnsi="Arial" w:cs="Arial"/>
        </w:rPr>
        <w:t>unicipalities to manage customers. This model, designed for urban and peri-urban slum areas with weak infrastructure and access challenges, features narrow wastewater pipes and partial connection to the traditional sewage system.</w:t>
      </w:r>
      <w:r w:rsidR="00597909" w:rsidRPr="000A0BFB">
        <w:rPr>
          <w:rStyle w:val="FootnoteReference"/>
          <w:rFonts w:ascii="Arial" w:hAnsi="Arial" w:cs="Arial"/>
        </w:rPr>
        <w:footnoteReference w:id="29"/>
      </w:r>
      <w:r w:rsidR="00E856D6" w:rsidRPr="000A0BFB">
        <w:rPr>
          <w:rFonts w:ascii="Arial" w:hAnsi="Arial" w:cs="Arial"/>
        </w:rPr>
        <w:t xml:space="preserve"> The project consists of nine</w:t>
      </w:r>
      <w:r w:rsidR="006015AA" w:rsidRPr="000A0BFB">
        <w:rPr>
          <w:rFonts w:ascii="Arial" w:hAnsi="Arial" w:cs="Arial"/>
        </w:rPr>
        <w:t xml:space="preserve"> systems</w:t>
      </w:r>
      <w:r w:rsidR="00E856D6" w:rsidRPr="000A0BFB">
        <w:rPr>
          <w:rFonts w:ascii="Arial" w:hAnsi="Arial" w:cs="Arial"/>
        </w:rPr>
        <w:t xml:space="preserve"> with</w:t>
      </w:r>
      <w:r w:rsidRPr="000A0BFB">
        <w:rPr>
          <w:rFonts w:ascii="Arial" w:hAnsi="Arial" w:cs="Arial"/>
        </w:rPr>
        <w:t xml:space="preserve"> 120 kilometers</w:t>
      </w:r>
      <w:r w:rsidR="006015AA" w:rsidRPr="000A0BFB">
        <w:rPr>
          <w:rFonts w:ascii="Arial" w:hAnsi="Arial" w:cs="Arial"/>
        </w:rPr>
        <w:t xml:space="preserve"> of piping, 1,366 manholes, 7 pumping stations, and 3 treatment stations</w:t>
      </w:r>
      <w:r w:rsidRPr="000A0BFB">
        <w:rPr>
          <w:rFonts w:ascii="Arial" w:hAnsi="Arial" w:cs="Arial"/>
        </w:rPr>
        <w:t xml:space="preserve"> with </w:t>
      </w:r>
      <w:r w:rsidR="00E856D6" w:rsidRPr="000A0BFB">
        <w:rPr>
          <w:rFonts w:ascii="Arial" w:hAnsi="Arial" w:cs="Arial"/>
        </w:rPr>
        <w:t>a</w:t>
      </w:r>
      <w:r w:rsidR="00586C33" w:rsidRPr="000A0BFB">
        <w:rPr>
          <w:rFonts w:ascii="Arial" w:hAnsi="Arial" w:cs="Arial"/>
        </w:rPr>
        <w:t>n estimated</w:t>
      </w:r>
      <w:r w:rsidR="0058392B">
        <w:rPr>
          <w:rFonts w:ascii="Arial" w:hAnsi="Arial" w:cs="Arial"/>
        </w:rPr>
        <w:t xml:space="preserve"> </w:t>
      </w:r>
      <w:r w:rsidR="00597909" w:rsidRPr="000A0BFB">
        <w:rPr>
          <w:rFonts w:ascii="Arial" w:hAnsi="Arial" w:cs="Arial"/>
        </w:rPr>
        <w:t xml:space="preserve">capacity of </w:t>
      </w:r>
      <w:r w:rsidR="00E856D6" w:rsidRPr="000A0BFB">
        <w:rPr>
          <w:rFonts w:ascii="Arial" w:hAnsi="Arial" w:cs="Arial"/>
        </w:rPr>
        <w:t>5</w:t>
      </w:r>
      <w:r w:rsidR="00E72A88" w:rsidRPr="000A0BFB">
        <w:rPr>
          <w:rFonts w:ascii="Arial" w:hAnsi="Arial" w:cs="Arial"/>
        </w:rPr>
        <w:t>,</w:t>
      </w:r>
      <w:r w:rsidR="00E856D6" w:rsidRPr="000A0BFB">
        <w:rPr>
          <w:rFonts w:ascii="Arial" w:hAnsi="Arial" w:cs="Arial"/>
        </w:rPr>
        <w:t>300 m</w:t>
      </w:r>
      <w:r w:rsidR="00E856D6" w:rsidRPr="000A0BFB">
        <w:rPr>
          <w:rFonts w:ascii="Arial" w:hAnsi="Arial" w:cs="Arial"/>
          <w:vertAlign w:val="superscript"/>
        </w:rPr>
        <w:t>3</w:t>
      </w:r>
      <w:r w:rsidRPr="000A0BFB">
        <w:rPr>
          <w:rFonts w:ascii="Arial" w:hAnsi="Arial" w:cs="Arial"/>
        </w:rPr>
        <w:t>/day</w:t>
      </w:r>
      <w:r w:rsidR="00E856D6" w:rsidRPr="000A0BFB">
        <w:rPr>
          <w:rFonts w:ascii="Arial" w:hAnsi="Arial" w:cs="Arial"/>
        </w:rPr>
        <w:t>. The project will serve</w:t>
      </w:r>
      <w:r w:rsidR="006015AA" w:rsidRPr="000A0BFB">
        <w:rPr>
          <w:rFonts w:ascii="Arial" w:hAnsi="Arial" w:cs="Arial"/>
        </w:rPr>
        <w:t xml:space="preserve"> 11,000 subscribed customers among </w:t>
      </w:r>
      <w:r w:rsidR="004A1D92">
        <w:rPr>
          <w:rFonts w:ascii="Arial" w:hAnsi="Arial" w:cs="Arial"/>
        </w:rPr>
        <w:t xml:space="preserve">a </w:t>
      </w:r>
      <w:r w:rsidR="006015AA" w:rsidRPr="000A0BFB">
        <w:rPr>
          <w:rFonts w:ascii="Arial" w:hAnsi="Arial" w:cs="Arial"/>
        </w:rPr>
        <w:t>population of 150,000 in the area</w:t>
      </w:r>
      <w:r w:rsidR="00E856D6" w:rsidRPr="000A0BFB">
        <w:rPr>
          <w:rFonts w:ascii="Arial" w:hAnsi="Arial" w:cs="Arial"/>
        </w:rPr>
        <w:t xml:space="preserve">. </w:t>
      </w:r>
    </w:p>
    <w:p w:rsidR="000921EF" w:rsidRPr="000A0BFB" w:rsidRDefault="00E856D6" w:rsidP="00F2332A">
      <w:pPr>
        <w:jc w:val="both"/>
        <w:rPr>
          <w:rFonts w:ascii="Arial" w:hAnsi="Arial" w:cs="Arial"/>
        </w:rPr>
      </w:pPr>
      <w:r w:rsidRPr="000A0BFB">
        <w:rPr>
          <w:rFonts w:ascii="Arial" w:hAnsi="Arial" w:cs="Arial"/>
        </w:rPr>
        <w:t xml:space="preserve">The Government of Senegal has made initial investments with </w:t>
      </w:r>
      <w:r w:rsidR="006015AA" w:rsidRPr="000A0BFB">
        <w:rPr>
          <w:rFonts w:ascii="Arial" w:hAnsi="Arial" w:cs="Arial"/>
        </w:rPr>
        <w:t>support from technical and financial partners</w:t>
      </w:r>
      <w:r w:rsidRPr="000A0BFB">
        <w:rPr>
          <w:rFonts w:ascii="Arial" w:hAnsi="Arial" w:cs="Arial"/>
        </w:rPr>
        <w:t xml:space="preserve">, expecting the project to earn about </w:t>
      </w:r>
      <w:r w:rsidR="00512ACE">
        <w:rPr>
          <w:rFonts w:ascii="Arial" w:hAnsi="Arial" w:cs="Arial"/>
        </w:rPr>
        <w:t>10 million West African CFA (“Financial Community of Africa”)</w:t>
      </w:r>
      <w:r w:rsidR="006015AA" w:rsidRPr="000A0BFB">
        <w:rPr>
          <w:rFonts w:ascii="Arial" w:hAnsi="Arial" w:cs="Arial"/>
        </w:rPr>
        <w:t>per month (</w:t>
      </w:r>
      <w:r w:rsidR="00B83E93">
        <w:rPr>
          <w:rFonts w:ascii="Arial" w:hAnsi="Arial" w:cs="Arial"/>
        </w:rPr>
        <w:t xml:space="preserve">equal to </w:t>
      </w:r>
      <w:r w:rsidR="006015AA" w:rsidRPr="000A0BFB">
        <w:rPr>
          <w:rFonts w:ascii="Arial" w:hAnsi="Arial" w:cs="Arial"/>
        </w:rPr>
        <w:t>about</w:t>
      </w:r>
      <w:r w:rsidR="00B83E93">
        <w:rPr>
          <w:rFonts w:ascii="Arial" w:hAnsi="Arial" w:cs="Arial"/>
        </w:rPr>
        <w:t xml:space="preserve"> US</w:t>
      </w:r>
      <w:r w:rsidR="006015AA" w:rsidRPr="000A0BFB">
        <w:rPr>
          <w:rFonts w:ascii="Arial" w:hAnsi="Arial" w:cs="Arial"/>
        </w:rPr>
        <w:t xml:space="preserve"> $21</w:t>
      </w:r>
      <w:r w:rsidR="00E26A10" w:rsidRPr="000A0BFB">
        <w:rPr>
          <w:rFonts w:ascii="Arial" w:hAnsi="Arial" w:cs="Arial"/>
        </w:rPr>
        <w:t>,000</w:t>
      </w:r>
      <w:r w:rsidRPr="000A0BFB">
        <w:rPr>
          <w:rFonts w:ascii="Arial" w:hAnsi="Arial" w:cs="Arial"/>
        </w:rPr>
        <w:t xml:space="preserve"> once fully operational</w:t>
      </w:r>
      <w:r w:rsidR="007A600E">
        <w:rPr>
          <w:rFonts w:ascii="Arial" w:hAnsi="Arial" w:cs="Arial"/>
        </w:rPr>
        <w:t>)</w:t>
      </w:r>
      <w:r w:rsidRPr="000A0BFB">
        <w:rPr>
          <w:rFonts w:ascii="Arial" w:hAnsi="Arial" w:cs="Arial"/>
        </w:rPr>
        <w:t>.</w:t>
      </w:r>
      <w:r w:rsidR="007A600E">
        <w:rPr>
          <w:rFonts w:ascii="Arial" w:hAnsi="Arial" w:cs="Arial"/>
        </w:rPr>
        <w:t>This revenue projection is not expected to fully cover costs. Therefore t</w:t>
      </w:r>
      <w:r w:rsidR="000921EF" w:rsidRPr="000A0BFB">
        <w:rPr>
          <w:rFonts w:ascii="Arial" w:hAnsi="Arial" w:cs="Arial"/>
        </w:rPr>
        <w:t>he new system will depend largely on</w:t>
      </w:r>
      <w:r w:rsidR="0058392B">
        <w:rPr>
          <w:rFonts w:ascii="Arial" w:hAnsi="Arial" w:cs="Arial"/>
        </w:rPr>
        <w:t xml:space="preserve"> </w:t>
      </w:r>
      <w:r w:rsidR="000921EF" w:rsidRPr="000A0BFB">
        <w:rPr>
          <w:rFonts w:ascii="Arial" w:hAnsi="Arial" w:cs="Arial"/>
        </w:rPr>
        <w:t>ONAS</w:t>
      </w:r>
      <w:r w:rsidR="007A600E">
        <w:rPr>
          <w:rFonts w:ascii="Arial" w:hAnsi="Arial" w:cs="Arial"/>
        </w:rPr>
        <w:t>’ budget</w:t>
      </w:r>
      <w:r w:rsidR="000921EF" w:rsidRPr="000A0BFB">
        <w:rPr>
          <w:rFonts w:ascii="Arial" w:hAnsi="Arial" w:cs="Arial"/>
        </w:rPr>
        <w:t xml:space="preserve"> for funding, which is comprised of subsidies, donor funding, and a small levy on urban water tariffs. </w:t>
      </w:r>
      <w:r w:rsidR="007A600E">
        <w:rPr>
          <w:rFonts w:ascii="Arial" w:hAnsi="Arial" w:cs="Arial"/>
        </w:rPr>
        <w:t xml:space="preserve">Thus far ONAS has established MOUs with eight municipalities and has launched the procurement process for selecting private operators. </w:t>
      </w:r>
    </w:p>
    <w:p w:rsidR="00262C1B" w:rsidRPr="000A0BFB" w:rsidRDefault="00500EED" w:rsidP="00F2332A">
      <w:pPr>
        <w:jc w:val="both"/>
        <w:rPr>
          <w:rFonts w:ascii="Arial" w:hAnsi="Arial" w:cs="Arial"/>
          <w:b/>
        </w:rPr>
      </w:pPr>
      <w:r>
        <w:rPr>
          <w:rFonts w:ascii="Arial" w:hAnsi="Arial" w:cs="Arial"/>
          <w:b/>
        </w:rPr>
        <w:t>Key</w:t>
      </w:r>
      <w:r w:rsidR="0048559D">
        <w:rPr>
          <w:rFonts w:ascii="Arial" w:hAnsi="Arial" w:cs="Arial"/>
          <w:b/>
        </w:rPr>
        <w:t xml:space="preserve"> Success</w:t>
      </w:r>
      <w:r w:rsidR="00262C1B" w:rsidRPr="000A0BFB">
        <w:rPr>
          <w:rFonts w:ascii="Arial" w:hAnsi="Arial" w:cs="Arial"/>
          <w:b/>
        </w:rPr>
        <w:t xml:space="preserve"> Factors </w:t>
      </w:r>
    </w:p>
    <w:p w:rsidR="00A76294" w:rsidRDefault="00EF7F35" w:rsidP="00F2332A">
      <w:pPr>
        <w:jc w:val="both"/>
        <w:rPr>
          <w:rFonts w:ascii="Arial" w:hAnsi="Arial" w:cs="Arial"/>
        </w:rPr>
      </w:pPr>
      <w:r>
        <w:rPr>
          <w:rFonts w:ascii="Arial" w:hAnsi="Arial" w:cs="Arial"/>
          <w:b/>
          <w:bCs/>
          <w:i/>
          <w:color w:val="221E1F"/>
        </w:rPr>
        <w:t>Stakeholder Participation</w:t>
      </w:r>
      <w:r w:rsidR="00E856D6" w:rsidRPr="000A0BFB">
        <w:rPr>
          <w:rFonts w:ascii="Arial" w:hAnsi="Arial" w:cs="Arial"/>
          <w:b/>
          <w:bCs/>
          <w:i/>
          <w:color w:val="221E1F"/>
        </w:rPr>
        <w:t>:</w:t>
      </w:r>
      <w:r w:rsidR="0058392B">
        <w:rPr>
          <w:rFonts w:ascii="Arial" w:hAnsi="Arial" w:cs="Arial"/>
          <w:b/>
          <w:bCs/>
          <w:i/>
          <w:color w:val="221E1F"/>
        </w:rPr>
        <w:t xml:space="preserve"> </w:t>
      </w:r>
      <w:r w:rsidR="00E856D6" w:rsidRPr="000A0BFB">
        <w:rPr>
          <w:rFonts w:ascii="Arial" w:hAnsi="Arial" w:cs="Arial"/>
          <w:bCs/>
        </w:rPr>
        <w:t xml:space="preserve">In </w:t>
      </w:r>
      <w:r w:rsidR="006015AA" w:rsidRPr="000A0BFB">
        <w:rPr>
          <w:rFonts w:ascii="Arial" w:hAnsi="Arial" w:cs="Arial"/>
        </w:rPr>
        <w:t xml:space="preserve">the community-based model </w:t>
      </w:r>
      <w:r w:rsidR="00E26A10" w:rsidRPr="000A0BFB">
        <w:rPr>
          <w:rFonts w:ascii="Arial" w:hAnsi="Arial" w:cs="Arial"/>
        </w:rPr>
        <w:t xml:space="preserve">it was unclear who was responsible for </w:t>
      </w:r>
      <w:r w:rsidR="006015AA" w:rsidRPr="000A0BFB">
        <w:rPr>
          <w:rFonts w:ascii="Arial" w:hAnsi="Arial" w:cs="Arial"/>
        </w:rPr>
        <w:t>certain financial responsibilities, such as payment for installations on private residential property</w:t>
      </w:r>
      <w:r w:rsidR="00162C89" w:rsidRPr="000A0BFB">
        <w:rPr>
          <w:rFonts w:ascii="Arial" w:hAnsi="Arial" w:cs="Arial"/>
        </w:rPr>
        <w:t>. In the new model, customers</w:t>
      </w:r>
      <w:r w:rsidR="006015AA" w:rsidRPr="000A0BFB">
        <w:rPr>
          <w:rFonts w:ascii="Arial" w:hAnsi="Arial" w:cs="Arial"/>
        </w:rPr>
        <w:t xml:space="preserve"> pay for the instal</w:t>
      </w:r>
      <w:r w:rsidR="006015AA" w:rsidRPr="000A0BFB">
        <w:rPr>
          <w:rFonts w:ascii="Arial" w:hAnsi="Arial" w:cs="Arial"/>
        </w:rPr>
        <w:softHyphen/>
        <w:t xml:space="preserve">lation of their residential septic tank and pipe connections. Although customers of this system are among the poorest in urban areas, </w:t>
      </w:r>
      <w:r w:rsidR="006015AA" w:rsidRPr="000A0BFB">
        <w:rPr>
          <w:rFonts w:ascii="Arial" w:hAnsi="Arial" w:cs="Arial"/>
        </w:rPr>
        <w:lastRenderedPageBreak/>
        <w:t xml:space="preserve">there seems to be enough demand for improved sanitation services to make the investment for household connections economically viable. This financial contribution from customers is necessary for the financial sustainability of the model, which is the only hygienic alternative to the status quo (open defecation or on-site collection). </w:t>
      </w:r>
    </w:p>
    <w:p w:rsidR="003E5D41" w:rsidRPr="000A0BFB" w:rsidRDefault="004D1010" w:rsidP="00F2332A">
      <w:pPr>
        <w:jc w:val="both"/>
        <w:rPr>
          <w:rFonts w:ascii="Arial" w:hAnsi="Arial" w:cs="Arial"/>
        </w:rPr>
      </w:pPr>
      <w:r>
        <w:rPr>
          <w:rFonts w:ascii="Arial" w:hAnsi="Arial" w:cs="Arial"/>
          <w:b/>
          <w:i/>
        </w:rPr>
        <w:t>Capacity Building and Public Awareness</w:t>
      </w:r>
      <w:r w:rsidRPr="000A0BFB">
        <w:rPr>
          <w:rFonts w:ascii="Arial" w:hAnsi="Arial" w:cs="Arial"/>
          <w:b/>
          <w:i/>
        </w:rPr>
        <w:t>:</w:t>
      </w:r>
      <w:r w:rsidRPr="000A0BFB">
        <w:rPr>
          <w:rFonts w:ascii="Arial" w:hAnsi="Arial" w:cs="Arial"/>
        </w:rPr>
        <w:t xml:space="preserve"> The new institutional model depends largely on the organizational capacity of ONAS to manage relationships with several stakeholder groups while also serving as the sector’s regulator and main source of financing. The GoS will need to ensure that ONAS is provided with training and capacity support</w:t>
      </w:r>
      <w:r>
        <w:rPr>
          <w:rFonts w:ascii="Arial" w:hAnsi="Arial" w:cs="Arial"/>
        </w:rPr>
        <w:t xml:space="preserve"> to fulfill this crucial role</w:t>
      </w:r>
      <w:r w:rsidR="003E5D41">
        <w:rPr>
          <w:rFonts w:ascii="Arial" w:hAnsi="Arial" w:cs="Arial"/>
        </w:rPr>
        <w:t>.</w:t>
      </w:r>
    </w:p>
    <w:tbl>
      <w:tblPr>
        <w:tblW w:w="9659" w:type="dxa"/>
        <w:shd w:val="clear" w:color="auto" w:fill="EDE8CB"/>
        <w:tblCellMar>
          <w:left w:w="0" w:type="dxa"/>
          <w:right w:w="0" w:type="dxa"/>
        </w:tblCellMar>
        <w:tblLook w:val="04A0" w:firstRow="1" w:lastRow="0" w:firstColumn="1" w:lastColumn="0" w:noHBand="0" w:noVBand="1"/>
      </w:tblPr>
      <w:tblGrid>
        <w:gridCol w:w="9659"/>
      </w:tblGrid>
      <w:tr w:rsidR="007A600E" w:rsidRPr="000A0BFB" w:rsidTr="002E7BFE">
        <w:trPr>
          <w:trHeight w:val="900"/>
        </w:trPr>
        <w:tc>
          <w:tcPr>
            <w:tcW w:w="9659" w:type="dxa"/>
            <w:tcBorders>
              <w:top w:val="nil"/>
              <w:left w:val="nil"/>
              <w:bottom w:val="single" w:sz="18" w:space="0" w:color="28AADA"/>
              <w:right w:val="nil"/>
            </w:tcBorders>
            <w:shd w:val="clear" w:color="auto" w:fill="002776"/>
            <w:tcMar>
              <w:top w:w="0" w:type="dxa"/>
              <w:left w:w="115" w:type="dxa"/>
              <w:bottom w:w="0" w:type="dxa"/>
              <w:right w:w="115" w:type="dxa"/>
            </w:tcMar>
            <w:hideMark/>
          </w:tcPr>
          <w:p w:rsidR="007A600E" w:rsidRPr="000A0BFB" w:rsidRDefault="007A600E" w:rsidP="004D1010">
            <w:pPr>
              <w:spacing w:before="120"/>
              <w:rPr>
                <w:rFonts w:ascii="Arial" w:eastAsia="Calibri" w:hAnsi="Arial" w:cs="Arial"/>
                <w:b/>
                <w:bCs/>
                <w:sz w:val="20"/>
                <w:szCs w:val="20"/>
              </w:rPr>
            </w:pPr>
            <w:r w:rsidRPr="000A0BFB">
              <w:rPr>
                <w:rFonts w:ascii="Arial" w:eastAsia="Calibri" w:hAnsi="Arial" w:cs="Arial"/>
                <w:b/>
                <w:bCs/>
                <w:sz w:val="20"/>
                <w:szCs w:val="20"/>
              </w:rPr>
              <w:t>INFO BOX 2: Franchising Opportunities</w:t>
            </w:r>
          </w:p>
          <w:p w:rsidR="007A600E" w:rsidRPr="000A0BFB" w:rsidRDefault="007A600E" w:rsidP="004D1010">
            <w:pPr>
              <w:spacing w:before="120"/>
              <w:rPr>
                <w:rFonts w:ascii="Arial" w:eastAsia="Calibri" w:hAnsi="Arial" w:cs="Arial"/>
                <w:b/>
                <w:bCs/>
                <w:szCs w:val="20"/>
              </w:rPr>
            </w:pPr>
            <w:r w:rsidRPr="000A0BFB">
              <w:rPr>
                <w:rFonts w:ascii="Arial" w:eastAsia="Calibri" w:hAnsi="Arial" w:cs="Arial"/>
                <w:b/>
                <w:bCs/>
                <w:sz w:val="20"/>
                <w:szCs w:val="20"/>
              </w:rPr>
              <w:t>The Sanergy Model : Kenya</w:t>
            </w:r>
          </w:p>
        </w:tc>
      </w:tr>
      <w:tr w:rsidR="007A600E" w:rsidRPr="000A0BFB" w:rsidTr="002E7BFE">
        <w:trPr>
          <w:trHeight w:val="3548"/>
        </w:trPr>
        <w:tc>
          <w:tcPr>
            <w:tcW w:w="9659" w:type="dxa"/>
            <w:tcBorders>
              <w:top w:val="nil"/>
              <w:left w:val="nil"/>
              <w:bottom w:val="single" w:sz="18" w:space="0" w:color="28AADA"/>
              <w:right w:val="nil"/>
            </w:tcBorders>
            <w:shd w:val="clear" w:color="auto" w:fill="auto"/>
            <w:tcMar>
              <w:top w:w="0" w:type="dxa"/>
              <w:left w:w="115" w:type="dxa"/>
              <w:bottom w:w="0" w:type="dxa"/>
              <w:right w:w="115" w:type="dxa"/>
            </w:tcMar>
            <w:vAlign w:val="center"/>
            <w:hideMark/>
          </w:tcPr>
          <w:p w:rsidR="007A600E" w:rsidRPr="000A0BFB" w:rsidRDefault="007A600E" w:rsidP="004D1010">
            <w:pPr>
              <w:rPr>
                <w:rFonts w:ascii="Arial" w:hAnsi="Arial" w:cs="Arial"/>
                <w:sz w:val="20"/>
                <w:szCs w:val="20"/>
              </w:rPr>
            </w:pPr>
            <w:r w:rsidRPr="000A0BFB">
              <w:rPr>
                <w:rFonts w:ascii="Arial" w:hAnsi="Arial" w:cs="Arial"/>
                <w:sz w:val="20"/>
                <w:szCs w:val="20"/>
              </w:rPr>
              <w:t>Sanergy is a private company in the business of building and scaling viable sanitation infrastructure in the slums of Nairobi. While this model does not represent a wastewater PPP, it does provide some relevant insights and could be leveraged to achieve scale in a PPP framework.</w:t>
            </w:r>
          </w:p>
          <w:p w:rsidR="007A600E" w:rsidRPr="000A0BFB" w:rsidRDefault="007A600E" w:rsidP="004D1010">
            <w:pPr>
              <w:rPr>
                <w:rFonts w:ascii="Arial" w:hAnsi="Arial" w:cs="Arial"/>
                <w:sz w:val="20"/>
                <w:szCs w:val="20"/>
              </w:rPr>
            </w:pPr>
            <w:r w:rsidRPr="000A0BFB">
              <w:rPr>
                <w:rFonts w:ascii="Arial" w:hAnsi="Arial" w:cs="Arial"/>
                <w:sz w:val="20"/>
                <w:szCs w:val="20"/>
              </w:rPr>
              <w:t>Sanergy’s model involves four steps: (i) building a network of low-cost sanitation centers in slums, (ii) distributing them through franchising to local entrepreneurs, (iii) collecting the waste produced, and (iv) processing it into electricity and fertilizer. At each step, this model creates jobs and opportunity while simultaneously addressing serious social needs.</w:t>
            </w:r>
          </w:p>
          <w:p w:rsidR="007A600E" w:rsidRPr="000A0BFB" w:rsidRDefault="007A600E" w:rsidP="004D1010">
            <w:pPr>
              <w:rPr>
                <w:rFonts w:ascii="Arial" w:hAnsi="Arial" w:cs="Arial"/>
                <w:sz w:val="20"/>
                <w:szCs w:val="20"/>
              </w:rPr>
            </w:pPr>
            <w:r w:rsidRPr="000A0BFB">
              <w:rPr>
                <w:rFonts w:ascii="Arial" w:hAnsi="Arial" w:cs="Arial"/>
                <w:sz w:val="20"/>
                <w:szCs w:val="20"/>
              </w:rPr>
              <w:t xml:space="preserve">The first part of the model is to build, and franchise a dense network of low-cost sanitation centers, eventually expanding to every block of the slum. These centers will be franchised to local entrepreneurs with direct financing from a local microfinance bank, and the day-to-day operation of the facility. </w:t>
            </w:r>
          </w:p>
          <w:p w:rsidR="007A600E" w:rsidRPr="000A0BFB" w:rsidRDefault="007A600E" w:rsidP="004D1010">
            <w:pPr>
              <w:rPr>
                <w:rFonts w:ascii="Arial" w:hAnsi="Arial" w:cs="Arial"/>
                <w:sz w:val="20"/>
                <w:szCs w:val="20"/>
              </w:rPr>
            </w:pPr>
            <w:r w:rsidRPr="000A0BFB">
              <w:rPr>
                <w:rFonts w:ascii="Arial" w:hAnsi="Arial" w:cs="Arial"/>
                <w:sz w:val="20"/>
                <w:szCs w:val="20"/>
              </w:rPr>
              <w:t>Rather than septic tanks, pit latrines, or sewer systems, the Ecosan system used in the sanitation centers deposits the waste in air- tight containers. These containers of urine and feces are collected on a daily basis by a waste collector using handcarts. Each day, Sanergy employees collect the full containers of waste from the operators and provide them with clean empty containers. The containers full of waste are brought to the central processing facility.</w:t>
            </w:r>
          </w:p>
          <w:p w:rsidR="007A600E" w:rsidRPr="000A0BFB" w:rsidRDefault="007A600E" w:rsidP="004D1010">
            <w:pPr>
              <w:rPr>
                <w:rFonts w:ascii="Arial" w:hAnsi="Arial" w:cs="Arial"/>
                <w:sz w:val="20"/>
                <w:szCs w:val="20"/>
              </w:rPr>
            </w:pPr>
            <w:r w:rsidRPr="000A0BFB">
              <w:rPr>
                <w:rFonts w:ascii="Arial" w:hAnsi="Arial" w:cs="Arial"/>
                <w:sz w:val="20"/>
                <w:szCs w:val="20"/>
              </w:rPr>
              <w:t>The processing facility will efficiently convert human waste into biogas through industrial-scale anaerobic digestion process. The residual solids will be processed into high-quality organic fertilizer, which will be sold to commercial farms and small hold farmers.</w:t>
            </w:r>
          </w:p>
          <w:p w:rsidR="007A600E" w:rsidRPr="000A0BFB" w:rsidRDefault="007A600E" w:rsidP="004D1010">
            <w:pPr>
              <w:rPr>
                <w:rFonts w:ascii="Arial" w:eastAsia="Calibri" w:hAnsi="Arial" w:cs="Arial"/>
                <w:i/>
                <w:iCs/>
                <w:color w:val="002776"/>
              </w:rPr>
            </w:pPr>
            <w:r w:rsidRPr="000A0BFB">
              <w:rPr>
                <w:rFonts w:ascii="Arial" w:hAnsi="Arial" w:cs="Arial"/>
                <w:b/>
                <w:i/>
                <w:sz w:val="20"/>
                <w:szCs w:val="20"/>
              </w:rPr>
              <w:t>Key Takeaways</w:t>
            </w:r>
            <w:r w:rsidRPr="000A0BFB">
              <w:rPr>
                <w:rFonts w:ascii="Arial" w:hAnsi="Arial" w:cs="Arial"/>
                <w:i/>
                <w:sz w:val="20"/>
                <w:szCs w:val="20"/>
              </w:rPr>
              <w:t>: Potential to use PPPs to scale - local governments could replace the entrepreneurs in paying for the upfront facility construction and operating the public sanitation facilities; Sanergy could also collect directly from homes as the private operator in an O&amp;M PPP and receive a government subsidy levied on water or have government agree to purchase wastewater treatment outputs (fertilizer, energy, etc.)</w:t>
            </w:r>
          </w:p>
        </w:tc>
      </w:tr>
    </w:tbl>
    <w:p w:rsidR="00AD495C" w:rsidRPr="006737AB" w:rsidRDefault="006737AB" w:rsidP="006737AB">
      <w:pPr>
        <w:jc w:val="both"/>
        <w:rPr>
          <w:rFonts w:ascii="Arial" w:hAnsi="Arial" w:cs="Arial"/>
        </w:rPr>
      </w:pPr>
      <w:r>
        <w:rPr>
          <w:rFonts w:ascii="Arial" w:hAnsi="Arial" w:cs="Arial"/>
        </w:rPr>
        <w:t>.</w:t>
      </w:r>
      <w:r w:rsidR="00AD495C" w:rsidRPr="000A0BFB">
        <w:rPr>
          <w:rFonts w:ascii="Arial" w:hAnsi="Arial" w:cs="Arial"/>
          <w:color w:val="002060"/>
          <w:sz w:val="24"/>
        </w:rPr>
        <w:br w:type="page"/>
      </w:r>
    </w:p>
    <w:p w:rsidR="001D23F4" w:rsidRPr="000A0BFB" w:rsidRDefault="001D23F4" w:rsidP="00F2332A">
      <w:pPr>
        <w:pStyle w:val="Heading1"/>
        <w:jc w:val="both"/>
        <w:rPr>
          <w:rFonts w:ascii="Arial" w:hAnsi="Arial" w:cs="Arial"/>
          <w:color w:val="002060"/>
          <w:sz w:val="32"/>
          <w:szCs w:val="22"/>
        </w:rPr>
      </w:pPr>
      <w:bookmarkStart w:id="11" w:name="_Toc404073794"/>
      <w:r w:rsidRPr="000A0BFB">
        <w:rPr>
          <w:rFonts w:ascii="Arial" w:hAnsi="Arial" w:cs="Arial"/>
          <w:color w:val="002060"/>
          <w:sz w:val="32"/>
          <w:szCs w:val="22"/>
        </w:rPr>
        <w:lastRenderedPageBreak/>
        <w:t>Case Studies: South America</w:t>
      </w:r>
      <w:bookmarkEnd w:id="11"/>
    </w:p>
    <w:p w:rsidR="001D23F4" w:rsidRPr="000A0BFB" w:rsidRDefault="001D23F4" w:rsidP="00F2332A">
      <w:pPr>
        <w:jc w:val="both"/>
        <w:rPr>
          <w:rFonts w:ascii="Arial" w:hAnsi="Arial" w:cs="Arial"/>
          <w:b/>
        </w:rPr>
      </w:pPr>
    </w:p>
    <w:p w:rsidR="00ED5C2E" w:rsidRPr="000A0BFB" w:rsidRDefault="001D23F4" w:rsidP="00F2332A">
      <w:pPr>
        <w:pStyle w:val="Heading2"/>
        <w:jc w:val="both"/>
        <w:rPr>
          <w:rFonts w:ascii="Arial" w:hAnsi="Arial" w:cs="Arial"/>
          <w:sz w:val="28"/>
        </w:rPr>
      </w:pPr>
      <w:bookmarkStart w:id="12" w:name="_Toc404073795"/>
      <w:r w:rsidRPr="000A0BFB">
        <w:rPr>
          <w:rFonts w:ascii="Arial" w:hAnsi="Arial" w:cs="Arial"/>
          <w:color w:val="92D050"/>
          <w:sz w:val="24"/>
        </w:rPr>
        <w:t xml:space="preserve">Honduras: </w:t>
      </w:r>
      <w:r w:rsidR="00BA062A" w:rsidRPr="000A0BFB">
        <w:rPr>
          <w:rFonts w:ascii="Arial" w:hAnsi="Arial" w:cs="Arial"/>
          <w:color w:val="92D050"/>
          <w:sz w:val="24"/>
        </w:rPr>
        <w:t>S</w:t>
      </w:r>
      <w:r w:rsidR="005D1D61" w:rsidRPr="000A0BFB">
        <w:rPr>
          <w:rFonts w:ascii="Arial" w:hAnsi="Arial" w:cs="Arial"/>
          <w:color w:val="92D050"/>
          <w:sz w:val="24"/>
        </w:rPr>
        <w:t>an Pedro Sula</w:t>
      </w:r>
      <w:r w:rsidRPr="000A0BFB">
        <w:rPr>
          <w:rFonts w:ascii="Arial" w:hAnsi="Arial" w:cs="Arial"/>
          <w:color w:val="92D050"/>
          <w:sz w:val="24"/>
        </w:rPr>
        <w:t xml:space="preserve"> Project</w:t>
      </w:r>
      <w:bookmarkEnd w:id="12"/>
    </w:p>
    <w:p w:rsidR="001D23F4" w:rsidRPr="000A0BFB" w:rsidRDefault="001D23F4" w:rsidP="00F2332A">
      <w:pPr>
        <w:jc w:val="both"/>
        <w:rPr>
          <w:rFonts w:ascii="Arial" w:hAnsi="Arial" w:cs="Arial"/>
        </w:rPr>
      </w:pPr>
    </w:p>
    <w:p w:rsidR="005520FF" w:rsidRPr="000A0BFB" w:rsidRDefault="005520FF" w:rsidP="00F2332A">
      <w:pPr>
        <w:jc w:val="both"/>
        <w:rPr>
          <w:rFonts w:ascii="Arial" w:hAnsi="Arial" w:cs="Arial"/>
          <w:b/>
        </w:rPr>
      </w:pPr>
      <w:r w:rsidRPr="000A0BFB">
        <w:rPr>
          <w:rFonts w:ascii="Arial" w:hAnsi="Arial" w:cs="Arial"/>
          <w:b/>
        </w:rPr>
        <w:t>Project Overview</w:t>
      </w:r>
    </w:p>
    <w:p w:rsidR="00CD3ED3" w:rsidRPr="000A0BFB" w:rsidRDefault="00FA65C5" w:rsidP="00F2332A">
      <w:pPr>
        <w:jc w:val="both"/>
        <w:rPr>
          <w:rFonts w:ascii="Arial" w:hAnsi="Arial" w:cs="Arial"/>
        </w:rPr>
      </w:pPr>
      <w:r w:rsidRPr="000A0BFB">
        <w:rPr>
          <w:rFonts w:ascii="Arial" w:hAnsi="Arial" w:cs="Arial"/>
        </w:rPr>
        <w:t>San Pedro Sula</w:t>
      </w:r>
      <w:r w:rsidR="00534122" w:rsidRPr="000A0BFB">
        <w:rPr>
          <w:rFonts w:ascii="Arial" w:hAnsi="Arial" w:cs="Arial"/>
        </w:rPr>
        <w:t>, located in the northwest of Honduras,</w:t>
      </w:r>
      <w:r w:rsidRPr="000A0BFB">
        <w:rPr>
          <w:rFonts w:ascii="Arial" w:hAnsi="Arial" w:cs="Arial"/>
        </w:rPr>
        <w:t xml:space="preserve"> is </w:t>
      </w:r>
      <w:r w:rsidR="00534122" w:rsidRPr="000A0BFB">
        <w:rPr>
          <w:rFonts w:ascii="Arial" w:hAnsi="Arial" w:cs="Arial"/>
        </w:rPr>
        <w:t xml:space="preserve">the country’s second largest city and </w:t>
      </w:r>
      <w:r w:rsidRPr="000A0BFB">
        <w:rPr>
          <w:rFonts w:ascii="Arial" w:hAnsi="Arial" w:cs="Arial"/>
        </w:rPr>
        <w:t>the economic capital.</w:t>
      </w:r>
      <w:r w:rsidR="0058392B">
        <w:rPr>
          <w:rFonts w:ascii="Arial" w:hAnsi="Arial" w:cs="Arial"/>
        </w:rPr>
        <w:t xml:space="preserve"> </w:t>
      </w:r>
      <w:r w:rsidRPr="000A0BFB">
        <w:rPr>
          <w:rFonts w:ascii="Arial" w:hAnsi="Arial" w:cs="Arial"/>
        </w:rPr>
        <w:t>In 2000</w:t>
      </w:r>
      <w:r w:rsidR="009D02C9" w:rsidRPr="000A0BFB">
        <w:rPr>
          <w:rFonts w:ascii="Arial" w:hAnsi="Arial" w:cs="Arial"/>
        </w:rPr>
        <w:t xml:space="preserve"> the </w:t>
      </w:r>
      <w:r w:rsidR="00534122" w:rsidRPr="000A0BFB">
        <w:rPr>
          <w:rFonts w:ascii="Arial" w:hAnsi="Arial" w:cs="Arial"/>
        </w:rPr>
        <w:t>Municipality of San Pedro Sula (MSPS)</w:t>
      </w:r>
      <w:r w:rsidRPr="000A0BFB">
        <w:rPr>
          <w:rFonts w:ascii="Arial" w:hAnsi="Arial" w:cs="Arial"/>
        </w:rPr>
        <w:t>awarded a 30-year</w:t>
      </w:r>
      <w:r w:rsidR="009D02C9" w:rsidRPr="000A0BFB">
        <w:rPr>
          <w:rFonts w:ascii="Arial" w:hAnsi="Arial" w:cs="Arial"/>
        </w:rPr>
        <w:t xml:space="preserve"> concession to a private operator</w:t>
      </w:r>
      <w:r w:rsidRPr="000A0BFB">
        <w:rPr>
          <w:rFonts w:ascii="Arial" w:hAnsi="Arial" w:cs="Arial"/>
        </w:rPr>
        <w:t xml:space="preserve"> to </w:t>
      </w:r>
      <w:r w:rsidR="0020261F" w:rsidRPr="000A0BFB">
        <w:rPr>
          <w:rFonts w:ascii="Arial" w:hAnsi="Arial" w:cs="Arial"/>
        </w:rPr>
        <w:t xml:space="preserve">operate the water and sanitation system in the </w:t>
      </w:r>
      <w:r w:rsidRPr="000A0BFB">
        <w:rPr>
          <w:rFonts w:ascii="Arial" w:hAnsi="Arial" w:cs="Arial"/>
        </w:rPr>
        <w:t>city</w:t>
      </w:r>
      <w:r w:rsidR="009D02C9" w:rsidRPr="000A0BFB">
        <w:rPr>
          <w:rFonts w:ascii="Arial" w:hAnsi="Arial" w:cs="Arial"/>
        </w:rPr>
        <w:t xml:space="preserve">. </w:t>
      </w:r>
      <w:r w:rsidR="00CD3ED3" w:rsidRPr="000A0BFB">
        <w:rPr>
          <w:rFonts w:ascii="Arial" w:hAnsi="Arial" w:cs="Arial"/>
          <w:shd w:val="clear" w:color="auto" w:fill="FFFFFF"/>
        </w:rPr>
        <w:t xml:space="preserve">The project included plans for the installation of meters, the expansion of the sewer system and the construction of wastewater treatment plants. </w:t>
      </w:r>
      <w:r w:rsidR="00915E9E" w:rsidRPr="000A0BFB">
        <w:rPr>
          <w:rFonts w:ascii="Arial" w:hAnsi="Arial" w:cs="Arial"/>
          <w:shd w:val="clear" w:color="auto" w:fill="FFFFFF"/>
        </w:rPr>
        <w:t xml:space="preserve">Since this was structured as a concession, the municipality receives concession fees </w:t>
      </w:r>
      <w:r w:rsidR="00105206">
        <w:rPr>
          <w:rFonts w:ascii="Arial" w:hAnsi="Arial" w:cs="Arial"/>
          <w:shd w:val="clear" w:color="auto" w:fill="FFFFFF"/>
        </w:rPr>
        <w:t>that</w:t>
      </w:r>
      <w:r w:rsidR="00CD3ED3" w:rsidRPr="000A0BFB">
        <w:rPr>
          <w:rFonts w:ascii="Arial" w:hAnsi="Arial" w:cs="Arial"/>
          <w:shd w:val="clear" w:color="auto" w:fill="FFFFFF"/>
        </w:rPr>
        <w:t xml:space="preserve"> serve as additional revenue for the</w:t>
      </w:r>
      <w:r w:rsidR="00196A43" w:rsidRPr="000A0BFB">
        <w:rPr>
          <w:rFonts w:ascii="Arial" w:hAnsi="Arial" w:cs="Arial"/>
          <w:shd w:val="clear" w:color="auto" w:fill="FFFFFF"/>
        </w:rPr>
        <w:t xml:space="preserve"> municipality. </w:t>
      </w:r>
    </w:p>
    <w:p w:rsidR="00D86854" w:rsidRPr="000A0BFB" w:rsidRDefault="00D86854" w:rsidP="00F2332A">
      <w:pPr>
        <w:jc w:val="both"/>
        <w:rPr>
          <w:rFonts w:ascii="Arial" w:hAnsi="Arial" w:cs="Arial"/>
          <w:shd w:val="clear" w:color="auto" w:fill="FFFFFF"/>
        </w:rPr>
      </w:pPr>
      <w:r w:rsidRPr="000A0BFB">
        <w:rPr>
          <w:rFonts w:ascii="Arial" w:hAnsi="Arial" w:cs="Arial"/>
          <w:shd w:val="clear" w:color="auto" w:fill="FFFFFF"/>
        </w:rPr>
        <w:t xml:space="preserve">Three international consortia </w:t>
      </w:r>
      <w:r w:rsidR="0058392B">
        <w:rPr>
          <w:rFonts w:ascii="Arial" w:hAnsi="Arial" w:cs="Arial"/>
          <w:shd w:val="clear" w:color="auto" w:fill="FFFFFF"/>
        </w:rPr>
        <w:t>submitted f</w:t>
      </w:r>
      <w:r w:rsidRPr="000A0BFB">
        <w:rPr>
          <w:rFonts w:ascii="Arial" w:hAnsi="Arial" w:cs="Arial"/>
          <w:shd w:val="clear" w:color="auto" w:fill="FFFFFF"/>
        </w:rPr>
        <w:t xml:space="preserve">ormal bids for the concession. To </w:t>
      </w:r>
      <w:r w:rsidR="00196A43" w:rsidRPr="000A0BFB">
        <w:rPr>
          <w:rFonts w:ascii="Arial" w:hAnsi="Arial" w:cs="Arial"/>
          <w:shd w:val="clear" w:color="auto" w:fill="FFFFFF"/>
        </w:rPr>
        <w:t>ensure a transparent and competitive process</w:t>
      </w:r>
      <w:r w:rsidRPr="000A0BFB">
        <w:rPr>
          <w:rFonts w:ascii="Arial" w:hAnsi="Arial" w:cs="Arial"/>
          <w:shd w:val="clear" w:color="auto" w:fill="FFFFFF"/>
        </w:rPr>
        <w:t xml:space="preserve">, the municipality decided to award based on </w:t>
      </w:r>
      <w:r w:rsidR="00196A43" w:rsidRPr="000A0BFB">
        <w:rPr>
          <w:rFonts w:ascii="Arial" w:hAnsi="Arial" w:cs="Arial"/>
          <w:shd w:val="clear" w:color="auto" w:fill="FFFFFF"/>
        </w:rPr>
        <w:t>the lowest water tariff offer as a single criterion. The bids were revealed</w:t>
      </w:r>
      <w:r w:rsidRPr="000A0BFB">
        <w:rPr>
          <w:rFonts w:ascii="Arial" w:hAnsi="Arial" w:cs="Arial"/>
          <w:shd w:val="clear" w:color="auto" w:fill="FFFFFF"/>
        </w:rPr>
        <w:t xml:space="preserve"> in public and </w:t>
      </w:r>
      <w:r w:rsidR="00196A43" w:rsidRPr="000A0BFB">
        <w:rPr>
          <w:rFonts w:ascii="Arial" w:hAnsi="Arial" w:cs="Arial"/>
          <w:shd w:val="clear" w:color="auto" w:fill="FFFFFF"/>
        </w:rPr>
        <w:t>the concession was awarded to an Italian consortium named</w:t>
      </w:r>
      <w:r w:rsidRPr="000A0BFB">
        <w:rPr>
          <w:rFonts w:ascii="Arial" w:hAnsi="Arial" w:cs="Arial"/>
          <w:shd w:val="clear" w:color="auto" w:fill="FFFFFF"/>
        </w:rPr>
        <w:t xml:space="preserve"> Aguas de San Pedro</w:t>
      </w:r>
      <w:r w:rsidR="00534122" w:rsidRPr="000A0BFB">
        <w:rPr>
          <w:rFonts w:ascii="Arial" w:hAnsi="Arial" w:cs="Arial"/>
          <w:shd w:val="clear" w:color="auto" w:fill="FFFFFF"/>
        </w:rPr>
        <w:t xml:space="preserve"> (ASP)</w:t>
      </w:r>
      <w:r w:rsidRPr="000A0BFB">
        <w:rPr>
          <w:rFonts w:ascii="Arial" w:hAnsi="Arial" w:cs="Arial"/>
          <w:shd w:val="clear" w:color="auto" w:fill="FFFFFF"/>
        </w:rPr>
        <w:t xml:space="preserve">, </w:t>
      </w:r>
      <w:r w:rsidR="00196A43" w:rsidRPr="000A0BFB">
        <w:rPr>
          <w:rFonts w:ascii="Arial" w:hAnsi="Arial" w:cs="Arial"/>
          <w:shd w:val="clear" w:color="auto" w:fill="FFFFFF"/>
        </w:rPr>
        <w:t>led</w:t>
      </w:r>
      <w:r w:rsidRPr="000A0BFB">
        <w:rPr>
          <w:rFonts w:ascii="Arial" w:hAnsi="Arial" w:cs="Arial"/>
          <w:shd w:val="clear" w:color="auto" w:fill="FFFFFF"/>
        </w:rPr>
        <w:t xml:space="preserve"> by</w:t>
      </w:r>
      <w:r w:rsidR="001232C0" w:rsidRPr="000A0BFB">
        <w:rPr>
          <w:rFonts w:ascii="Arial" w:hAnsi="Arial" w:cs="Arial"/>
          <w:shd w:val="clear" w:color="auto" w:fill="FFFFFF"/>
        </w:rPr>
        <w:t xml:space="preserve"> Acea</w:t>
      </w:r>
      <w:r w:rsidR="00196A43" w:rsidRPr="000A0BFB">
        <w:rPr>
          <w:rFonts w:ascii="Arial" w:hAnsi="Arial" w:cs="Arial"/>
          <w:shd w:val="clear" w:color="auto" w:fill="FFFFFF"/>
        </w:rPr>
        <w:t>,</w:t>
      </w:r>
      <w:r w:rsidR="0058392B">
        <w:rPr>
          <w:rFonts w:ascii="Arial" w:hAnsi="Arial" w:cs="Arial"/>
          <w:shd w:val="clear" w:color="auto" w:fill="FFFFFF"/>
        </w:rPr>
        <w:t xml:space="preserve"> </w:t>
      </w:r>
      <w:r w:rsidR="00196A43" w:rsidRPr="000A0BFB">
        <w:rPr>
          <w:rFonts w:ascii="Arial" w:hAnsi="Arial" w:cs="Arial"/>
          <w:shd w:val="clear" w:color="auto" w:fill="FFFFFF"/>
        </w:rPr>
        <w:t>the</w:t>
      </w:r>
      <w:r w:rsidRPr="000A0BFB">
        <w:rPr>
          <w:rFonts w:ascii="Arial" w:hAnsi="Arial" w:cs="Arial"/>
          <w:shd w:val="clear" w:color="auto" w:fill="FFFFFF"/>
        </w:rPr>
        <w:t xml:space="preserve"> water and sanitation </w:t>
      </w:r>
      <w:r w:rsidR="00196A43" w:rsidRPr="000A0BFB">
        <w:rPr>
          <w:rFonts w:ascii="Arial" w:hAnsi="Arial" w:cs="Arial"/>
          <w:shd w:val="clear" w:color="auto" w:fill="FFFFFF"/>
        </w:rPr>
        <w:t>operator</w:t>
      </w:r>
      <w:r w:rsidRPr="000A0BFB">
        <w:rPr>
          <w:rFonts w:ascii="Arial" w:hAnsi="Arial" w:cs="Arial"/>
          <w:shd w:val="clear" w:color="auto" w:fill="FFFFFF"/>
        </w:rPr>
        <w:t xml:space="preserve"> for the city of</w:t>
      </w:r>
      <w:r w:rsidR="001232C0" w:rsidRPr="000A0BFB">
        <w:rPr>
          <w:rFonts w:ascii="Arial" w:hAnsi="Arial" w:cs="Arial"/>
          <w:shd w:val="clear" w:color="auto" w:fill="FFFFFF"/>
        </w:rPr>
        <w:t xml:space="preserve"> Rome. </w:t>
      </w:r>
      <w:r w:rsidRPr="000A0BFB">
        <w:rPr>
          <w:rFonts w:ascii="Arial" w:hAnsi="Arial" w:cs="Arial"/>
          <w:shd w:val="clear" w:color="auto" w:fill="FFFFFF"/>
        </w:rPr>
        <w:t xml:space="preserve">Not only was </w:t>
      </w:r>
      <w:r w:rsidR="00196A43" w:rsidRPr="000A0BFB">
        <w:rPr>
          <w:rFonts w:ascii="Arial" w:hAnsi="Arial" w:cs="Arial"/>
          <w:shd w:val="clear" w:color="auto" w:fill="FFFFFF"/>
        </w:rPr>
        <w:t>Aguas de San Pedro’s proposed</w:t>
      </w:r>
      <w:r w:rsidRPr="000A0BFB">
        <w:rPr>
          <w:rFonts w:ascii="Arial" w:hAnsi="Arial" w:cs="Arial"/>
          <w:shd w:val="clear" w:color="auto" w:fill="FFFFFF"/>
        </w:rPr>
        <w:t xml:space="preserve"> tariff the lowest, but it was</w:t>
      </w:r>
      <w:r w:rsidR="00196A43" w:rsidRPr="000A0BFB">
        <w:rPr>
          <w:rFonts w:ascii="Arial" w:hAnsi="Arial" w:cs="Arial"/>
          <w:shd w:val="clear" w:color="auto" w:fill="FFFFFF"/>
        </w:rPr>
        <w:t xml:space="preserve"> also</w:t>
      </w:r>
      <w:r w:rsidRPr="000A0BFB">
        <w:rPr>
          <w:rFonts w:ascii="Arial" w:hAnsi="Arial" w:cs="Arial"/>
          <w:shd w:val="clear" w:color="auto" w:fill="FFFFFF"/>
        </w:rPr>
        <w:t xml:space="preserve"> lower than the tariff charged by the muni</w:t>
      </w:r>
      <w:r w:rsidR="00B63719" w:rsidRPr="000A0BFB">
        <w:rPr>
          <w:rFonts w:ascii="Arial" w:hAnsi="Arial" w:cs="Arial"/>
          <w:shd w:val="clear" w:color="auto" w:fill="FFFFFF"/>
        </w:rPr>
        <w:t>cipal water company at the time.</w:t>
      </w:r>
      <w:r w:rsidR="00B63719" w:rsidRPr="000A0BFB">
        <w:rPr>
          <w:rStyle w:val="FootnoteReference"/>
          <w:rFonts w:ascii="Arial" w:hAnsi="Arial" w:cs="Arial"/>
          <w:shd w:val="clear" w:color="auto" w:fill="FFFFFF"/>
        </w:rPr>
        <w:footnoteReference w:id="30"/>
      </w:r>
      <w:r w:rsidR="00196A43" w:rsidRPr="000A0BFB">
        <w:rPr>
          <w:rFonts w:ascii="Arial" w:hAnsi="Arial" w:cs="Arial"/>
          <w:shd w:val="clear" w:color="auto" w:fill="FFFFFF"/>
        </w:rPr>
        <w:t xml:space="preserve"> According to local independent consultants, rates in San Pedro Sula were among the lowest in all </w:t>
      </w:r>
      <w:r w:rsidR="00534122" w:rsidRPr="000A0BFB">
        <w:rPr>
          <w:rFonts w:ascii="Arial" w:hAnsi="Arial" w:cs="Arial"/>
          <w:shd w:val="clear" w:color="auto" w:fill="FFFFFF"/>
        </w:rPr>
        <w:t xml:space="preserve">of </w:t>
      </w:r>
      <w:r w:rsidR="00196A43" w:rsidRPr="000A0BFB">
        <w:rPr>
          <w:rFonts w:ascii="Arial" w:hAnsi="Arial" w:cs="Arial"/>
          <w:shd w:val="clear" w:color="auto" w:fill="FFFFFF"/>
        </w:rPr>
        <w:t>Central America at the time.</w:t>
      </w:r>
    </w:p>
    <w:p w:rsidR="00D86854" w:rsidRPr="000A0BFB" w:rsidRDefault="00D86854" w:rsidP="00F2332A">
      <w:pPr>
        <w:jc w:val="both"/>
        <w:rPr>
          <w:rStyle w:val="Hyperlink"/>
          <w:rFonts w:ascii="Arial" w:hAnsi="Arial" w:cs="Arial"/>
          <w:color w:val="auto"/>
          <w:shd w:val="clear" w:color="auto" w:fill="FFFFFF"/>
          <w:vertAlign w:val="superscript"/>
        </w:rPr>
      </w:pPr>
      <w:r w:rsidRPr="000A0BFB">
        <w:rPr>
          <w:rFonts w:ascii="Arial" w:hAnsi="Arial" w:cs="Arial"/>
          <w:shd w:val="clear" w:color="auto" w:fill="FFFFFF"/>
        </w:rPr>
        <w:t xml:space="preserve">The </w:t>
      </w:r>
      <w:r w:rsidR="00196A43" w:rsidRPr="000A0BFB">
        <w:rPr>
          <w:rFonts w:ascii="Arial" w:hAnsi="Arial" w:cs="Arial"/>
          <w:shd w:val="clear" w:color="auto" w:fill="FFFFFF"/>
        </w:rPr>
        <w:t>Aguas de San Pedro consortium</w:t>
      </w:r>
      <w:r w:rsidRPr="000A0BFB">
        <w:rPr>
          <w:rFonts w:ascii="Arial" w:hAnsi="Arial" w:cs="Arial"/>
          <w:shd w:val="clear" w:color="auto" w:fill="FFFFFF"/>
        </w:rPr>
        <w:t xml:space="preserve"> committed itself to </w:t>
      </w:r>
      <w:r w:rsidR="00196A43" w:rsidRPr="000A0BFB">
        <w:rPr>
          <w:rFonts w:ascii="Arial" w:hAnsi="Arial" w:cs="Arial"/>
          <w:shd w:val="clear" w:color="auto" w:fill="FFFFFF"/>
        </w:rPr>
        <w:t>investing</w:t>
      </w:r>
      <w:r w:rsidRPr="000A0BFB">
        <w:rPr>
          <w:rFonts w:ascii="Arial" w:hAnsi="Arial" w:cs="Arial"/>
          <w:shd w:val="clear" w:color="auto" w:fill="FFFFFF"/>
        </w:rPr>
        <w:t xml:space="preserve"> $208 million</w:t>
      </w:r>
      <w:r w:rsidR="00534122" w:rsidRPr="000A0BFB">
        <w:rPr>
          <w:rFonts w:ascii="Arial" w:hAnsi="Arial" w:cs="Arial"/>
          <w:shd w:val="clear" w:color="auto" w:fill="FFFFFF"/>
        </w:rPr>
        <w:t xml:space="preserve">, </w:t>
      </w:r>
      <w:r w:rsidR="00382F49" w:rsidRPr="000A0BFB">
        <w:rPr>
          <w:rFonts w:ascii="Arial" w:hAnsi="Arial" w:cs="Arial"/>
          <w:shd w:val="clear" w:color="auto" w:fill="FFFFFF"/>
        </w:rPr>
        <w:t xml:space="preserve">with$115 million designated to water services and </w:t>
      </w:r>
      <w:r w:rsidR="00534122" w:rsidRPr="000A0BFB">
        <w:rPr>
          <w:rFonts w:ascii="Arial" w:hAnsi="Arial" w:cs="Arial"/>
          <w:shd w:val="clear" w:color="auto" w:fill="FFFFFF"/>
        </w:rPr>
        <w:t>$93 million designated to sewerage services,</w:t>
      </w:r>
      <w:r w:rsidRPr="000A0BFB">
        <w:rPr>
          <w:rFonts w:ascii="Arial" w:hAnsi="Arial" w:cs="Arial"/>
          <w:shd w:val="clear" w:color="auto" w:fill="FFFFFF"/>
        </w:rPr>
        <w:t xml:space="preserve"> over the 30-year concession period. Investments have been partially financed by a $13.7 million loan from the Inter-American Development Bank</w:t>
      </w:r>
      <w:r w:rsidR="00196A43" w:rsidRPr="000A0BFB">
        <w:rPr>
          <w:rFonts w:ascii="Arial" w:hAnsi="Arial" w:cs="Arial"/>
          <w:shd w:val="clear" w:color="auto" w:fill="FFFFFF"/>
        </w:rPr>
        <w:t xml:space="preserve">, </w:t>
      </w:r>
      <w:r w:rsidR="00D06EE2" w:rsidRPr="000A0BFB">
        <w:rPr>
          <w:rFonts w:ascii="Arial" w:hAnsi="Arial" w:cs="Arial"/>
          <w:shd w:val="clear" w:color="auto" w:fill="FFFFFF"/>
        </w:rPr>
        <w:t>approved in 2002.</w:t>
      </w:r>
    </w:p>
    <w:p w:rsidR="00534122" w:rsidRPr="000A0BFB" w:rsidRDefault="00534122" w:rsidP="00F2332A">
      <w:pPr>
        <w:jc w:val="both"/>
        <w:rPr>
          <w:rFonts w:ascii="Arial" w:hAnsi="Arial" w:cs="Arial"/>
        </w:rPr>
      </w:pPr>
      <w:r w:rsidRPr="000A0BFB">
        <w:rPr>
          <w:rFonts w:ascii="Arial" w:hAnsi="Arial" w:cs="Arial"/>
          <w:shd w:val="clear" w:color="auto" w:fill="FFFFFF"/>
        </w:rPr>
        <w:t xml:space="preserve">It is important to note another key feature of the concession agreement. </w:t>
      </w:r>
      <w:r w:rsidR="0020261F" w:rsidRPr="000A0BFB">
        <w:rPr>
          <w:rFonts w:ascii="Arial" w:hAnsi="Arial" w:cs="Arial"/>
          <w:shd w:val="clear" w:color="auto" w:fill="FFFFFF"/>
        </w:rPr>
        <w:t>The Municipal Division of Water (</w:t>
      </w:r>
      <w:r w:rsidRPr="000A0BFB">
        <w:rPr>
          <w:rFonts w:ascii="Arial" w:hAnsi="Arial" w:cs="Arial"/>
          <w:shd w:val="clear" w:color="auto" w:fill="FFFFFF"/>
        </w:rPr>
        <w:t>DIMA</w:t>
      </w:r>
      <w:r w:rsidR="0020261F" w:rsidRPr="000A0BFB">
        <w:rPr>
          <w:rFonts w:ascii="Arial" w:hAnsi="Arial" w:cs="Arial"/>
          <w:shd w:val="clear" w:color="auto" w:fill="FFFFFF"/>
        </w:rPr>
        <w:t>)</w:t>
      </w:r>
      <w:r w:rsidRPr="000A0BFB">
        <w:rPr>
          <w:rFonts w:ascii="Arial" w:hAnsi="Arial" w:cs="Arial"/>
          <w:shd w:val="clear" w:color="auto" w:fill="FFFFFF"/>
        </w:rPr>
        <w:t xml:space="preserve"> agreed to a departure from their traditionally static tariff system to grant ASP the right to adjust tariffs for inflation semi-annually and to make a single increase of up to 20%.</w:t>
      </w:r>
      <w:r w:rsidRPr="000A0BFB">
        <w:rPr>
          <w:rStyle w:val="FootnoteReference"/>
          <w:rFonts w:ascii="Arial" w:hAnsi="Arial" w:cs="Arial"/>
          <w:shd w:val="clear" w:color="auto" w:fill="FFFFFF"/>
        </w:rPr>
        <w:footnoteReference w:id="31"/>
      </w:r>
    </w:p>
    <w:p w:rsidR="00CD3ED3" w:rsidRPr="000A0BFB" w:rsidRDefault="00CD3ED3" w:rsidP="00F2332A">
      <w:pPr>
        <w:jc w:val="both"/>
        <w:rPr>
          <w:rFonts w:ascii="Arial" w:hAnsi="Arial" w:cs="Arial"/>
          <w:b/>
          <w:shd w:val="clear" w:color="auto" w:fill="FFFFFF"/>
        </w:rPr>
      </w:pPr>
      <w:r w:rsidRPr="000A0BFB">
        <w:rPr>
          <w:rFonts w:ascii="Arial" w:hAnsi="Arial" w:cs="Arial"/>
          <w:b/>
          <w:shd w:val="clear" w:color="auto" w:fill="FFFFFF"/>
        </w:rPr>
        <w:t>Noteworthy Outcomes</w:t>
      </w:r>
    </w:p>
    <w:p w:rsidR="00534122" w:rsidRDefault="00534122" w:rsidP="00F2332A">
      <w:pPr>
        <w:jc w:val="both"/>
        <w:rPr>
          <w:rFonts w:ascii="Arial" w:hAnsi="Arial" w:cs="Arial"/>
          <w:shd w:val="clear" w:color="auto" w:fill="FFFFFF"/>
        </w:rPr>
      </w:pPr>
      <w:r w:rsidRPr="000A0BFB">
        <w:rPr>
          <w:rFonts w:ascii="Arial" w:hAnsi="Arial" w:cs="Arial"/>
          <w:shd w:val="clear" w:color="auto" w:fill="FFFFFF"/>
        </w:rPr>
        <w:t xml:space="preserve">In response to </w:t>
      </w:r>
      <w:r w:rsidR="00105206">
        <w:rPr>
          <w:rFonts w:ascii="Arial" w:hAnsi="Arial" w:cs="Arial"/>
          <w:shd w:val="clear" w:color="auto" w:fill="FFFFFF"/>
        </w:rPr>
        <w:t>initial</w:t>
      </w:r>
      <w:r w:rsidR="0058392B">
        <w:rPr>
          <w:rFonts w:ascii="Arial" w:hAnsi="Arial" w:cs="Arial"/>
          <w:shd w:val="clear" w:color="auto" w:fill="FFFFFF"/>
        </w:rPr>
        <w:t xml:space="preserve"> </w:t>
      </w:r>
      <w:r w:rsidRPr="000A0BFB">
        <w:rPr>
          <w:rFonts w:ascii="Arial" w:hAnsi="Arial" w:cs="Arial"/>
          <w:shd w:val="clear" w:color="auto" w:fill="FFFFFF"/>
        </w:rPr>
        <w:t xml:space="preserve">public </w:t>
      </w:r>
      <w:r w:rsidR="00F36ABC" w:rsidRPr="000A0BFB">
        <w:rPr>
          <w:rFonts w:ascii="Arial" w:hAnsi="Arial" w:cs="Arial"/>
          <w:shd w:val="clear" w:color="auto" w:fill="FFFFFF"/>
        </w:rPr>
        <w:t>resistance</w:t>
      </w:r>
      <w:r w:rsidR="0058392B">
        <w:rPr>
          <w:rFonts w:ascii="Arial" w:hAnsi="Arial" w:cs="Arial"/>
          <w:shd w:val="clear" w:color="auto" w:fill="FFFFFF"/>
        </w:rPr>
        <w:t xml:space="preserve"> </w:t>
      </w:r>
      <w:r w:rsidR="00AA7858" w:rsidRPr="00AA7858">
        <w:rPr>
          <w:rFonts w:ascii="Arial" w:hAnsi="Arial" w:cs="Arial"/>
          <w:shd w:val="clear" w:color="auto" w:fill="FFFFFF"/>
        </w:rPr>
        <w:t>to the installation of water meters</w:t>
      </w:r>
      <w:r w:rsidRPr="000A0BFB">
        <w:rPr>
          <w:rFonts w:ascii="Arial" w:hAnsi="Arial" w:cs="Arial"/>
          <w:shd w:val="clear" w:color="auto" w:fill="FFFFFF"/>
        </w:rPr>
        <w:t>, ASP launched a ‘Friendly School &amp; Healthy Home’ program in 2006 in collaboration with UNICEF, the Ministry of Education, and MSPS</w:t>
      </w:r>
      <w:r w:rsidR="00F36ABC" w:rsidRPr="000A0BFB">
        <w:rPr>
          <w:rFonts w:ascii="Arial" w:hAnsi="Arial" w:cs="Arial"/>
          <w:shd w:val="clear" w:color="auto" w:fill="FFFFFF"/>
        </w:rPr>
        <w:t xml:space="preserve"> in the hopes of improving its relations with the local public. The program, in which ASP has invested around $43,000 for the design and construction of new toilets and washstands, seeks to </w:t>
      </w:r>
      <w:r w:rsidRPr="000A0BFB">
        <w:rPr>
          <w:rFonts w:ascii="Arial" w:hAnsi="Arial" w:cs="Arial"/>
          <w:shd w:val="clear" w:color="auto" w:fill="FFFFFF"/>
        </w:rPr>
        <w:t>improve the sanitary infrastructure in eight urban and three rural schools across San Pedro Sula.</w:t>
      </w:r>
      <w:r w:rsidR="00F36ABC" w:rsidRPr="000A0BFB">
        <w:rPr>
          <w:rStyle w:val="FootnoteReference"/>
          <w:rFonts w:ascii="Arial" w:hAnsi="Arial" w:cs="Arial"/>
          <w:shd w:val="clear" w:color="auto" w:fill="FFFFFF"/>
        </w:rPr>
        <w:footnoteReference w:id="32"/>
      </w:r>
    </w:p>
    <w:p w:rsidR="00F64C4F" w:rsidRPr="000A0BFB" w:rsidRDefault="00F64C4F" w:rsidP="00F2332A">
      <w:pPr>
        <w:jc w:val="both"/>
        <w:rPr>
          <w:rFonts w:ascii="Arial" w:hAnsi="Arial" w:cs="Arial"/>
          <w:shd w:val="clear" w:color="auto" w:fill="FFFFFF"/>
        </w:rPr>
      </w:pPr>
    </w:p>
    <w:p w:rsidR="00262C1B" w:rsidRPr="000A0BFB" w:rsidRDefault="00CA7A06" w:rsidP="00F2332A">
      <w:pPr>
        <w:jc w:val="both"/>
        <w:rPr>
          <w:rFonts w:ascii="Arial" w:hAnsi="Arial" w:cs="Arial"/>
          <w:b/>
        </w:rPr>
      </w:pPr>
      <w:r>
        <w:rPr>
          <w:rFonts w:ascii="Arial" w:hAnsi="Arial" w:cs="Arial"/>
          <w:b/>
        </w:rPr>
        <w:lastRenderedPageBreak/>
        <w:t>Key</w:t>
      </w:r>
      <w:r w:rsidR="0058392B">
        <w:rPr>
          <w:rFonts w:ascii="Arial" w:hAnsi="Arial" w:cs="Arial"/>
          <w:b/>
        </w:rPr>
        <w:t xml:space="preserve"> </w:t>
      </w:r>
      <w:r w:rsidR="0048559D">
        <w:rPr>
          <w:rFonts w:ascii="Arial" w:hAnsi="Arial" w:cs="Arial"/>
          <w:b/>
        </w:rPr>
        <w:t xml:space="preserve">Success </w:t>
      </w:r>
      <w:r w:rsidR="00262C1B" w:rsidRPr="000A0BFB">
        <w:rPr>
          <w:rFonts w:ascii="Arial" w:hAnsi="Arial" w:cs="Arial"/>
          <w:b/>
        </w:rPr>
        <w:t xml:space="preserve">Factors </w:t>
      </w:r>
    </w:p>
    <w:p w:rsidR="00CD3ED3" w:rsidRPr="000A0BFB" w:rsidRDefault="00CD3ED3" w:rsidP="00F2332A">
      <w:pPr>
        <w:jc w:val="both"/>
        <w:rPr>
          <w:rFonts w:ascii="Arial" w:hAnsi="Arial" w:cs="Arial"/>
          <w:shd w:val="clear" w:color="auto" w:fill="FFFFFF"/>
        </w:rPr>
      </w:pPr>
      <w:r w:rsidRPr="000A0BFB">
        <w:rPr>
          <w:rFonts w:ascii="Arial" w:hAnsi="Arial" w:cs="Arial"/>
          <w:b/>
          <w:i/>
        </w:rPr>
        <w:t>Transparent Procurement Process:</w:t>
      </w:r>
      <w:r w:rsidR="0058392B">
        <w:rPr>
          <w:rFonts w:ascii="Arial" w:hAnsi="Arial" w:cs="Arial"/>
          <w:b/>
          <w:i/>
        </w:rPr>
        <w:t xml:space="preserve"> </w:t>
      </w:r>
      <w:r w:rsidR="00196A43" w:rsidRPr="000A0BFB">
        <w:rPr>
          <w:rFonts w:ascii="Arial" w:hAnsi="Arial" w:cs="Arial"/>
          <w:shd w:val="clear" w:color="auto" w:fill="FFFFFF"/>
        </w:rPr>
        <w:t xml:space="preserve">The municipality used an extremely open and consultative process to award the concession. </w:t>
      </w:r>
      <w:r w:rsidRPr="000A0BFB">
        <w:rPr>
          <w:rFonts w:ascii="Arial" w:hAnsi="Arial" w:cs="Arial"/>
          <w:shd w:val="clear" w:color="auto" w:fill="FFFFFF"/>
        </w:rPr>
        <w:t xml:space="preserve">A ‘Municipal Transparency Commission’ was established, consisting of representatives from civil society, including labor unions, the Dutch consul in Honduras, the Catholic Church and a local university. The Commission </w:t>
      </w:r>
      <w:r w:rsidR="00196A43" w:rsidRPr="000A0BFB">
        <w:rPr>
          <w:rFonts w:ascii="Arial" w:hAnsi="Arial" w:cs="Arial"/>
          <w:shd w:val="clear" w:color="auto" w:fill="FFFFFF"/>
        </w:rPr>
        <w:t xml:space="preserve">was responsible for overseeing procurement; it </w:t>
      </w:r>
      <w:r w:rsidRPr="000A0BFB">
        <w:rPr>
          <w:rFonts w:ascii="Arial" w:hAnsi="Arial" w:cs="Arial"/>
          <w:shd w:val="clear" w:color="auto" w:fill="FFFFFF"/>
        </w:rPr>
        <w:t>carefully reviewed all of the documents, at each stage</w:t>
      </w:r>
      <w:r w:rsidR="00196A43" w:rsidRPr="000A0BFB">
        <w:rPr>
          <w:rFonts w:ascii="Arial" w:hAnsi="Arial" w:cs="Arial"/>
          <w:shd w:val="clear" w:color="auto" w:fill="FFFFFF"/>
        </w:rPr>
        <w:t xml:space="preserve"> of the process</w:t>
      </w:r>
      <w:r w:rsidRPr="000A0BFB">
        <w:rPr>
          <w:rFonts w:ascii="Arial" w:hAnsi="Arial" w:cs="Arial"/>
          <w:shd w:val="clear" w:color="auto" w:fill="FFFFFF"/>
        </w:rPr>
        <w:t>.</w:t>
      </w:r>
    </w:p>
    <w:p w:rsidR="005749DC" w:rsidRDefault="00A60AE1" w:rsidP="00F2332A">
      <w:pPr>
        <w:jc w:val="both"/>
        <w:rPr>
          <w:rFonts w:ascii="Arial" w:hAnsi="Arial" w:cs="Arial"/>
        </w:rPr>
      </w:pPr>
      <w:r>
        <w:rPr>
          <w:rFonts w:ascii="Arial" w:hAnsi="Arial" w:cs="Arial"/>
          <w:b/>
          <w:i/>
        </w:rPr>
        <w:t>Capacity Building and</w:t>
      </w:r>
      <w:r w:rsidR="0058392B">
        <w:rPr>
          <w:rFonts w:ascii="Arial" w:hAnsi="Arial" w:cs="Arial"/>
          <w:b/>
          <w:i/>
        </w:rPr>
        <w:t xml:space="preserve"> </w:t>
      </w:r>
      <w:r w:rsidR="00F36ABC" w:rsidRPr="000A0BFB">
        <w:rPr>
          <w:rFonts w:ascii="Arial" w:hAnsi="Arial" w:cs="Arial"/>
          <w:b/>
          <w:i/>
        </w:rPr>
        <w:t xml:space="preserve">Public </w:t>
      </w:r>
      <w:r w:rsidR="004D1010">
        <w:rPr>
          <w:rFonts w:ascii="Arial" w:hAnsi="Arial" w:cs="Arial"/>
          <w:b/>
          <w:i/>
        </w:rPr>
        <w:t>Awareness</w:t>
      </w:r>
      <w:r w:rsidR="00F36ABC" w:rsidRPr="000A0BFB">
        <w:rPr>
          <w:rFonts w:ascii="Arial" w:hAnsi="Arial" w:cs="Arial"/>
          <w:b/>
          <w:i/>
        </w:rPr>
        <w:t xml:space="preserve">: </w:t>
      </w:r>
      <w:r w:rsidR="00F36ABC" w:rsidRPr="000A0BFB">
        <w:rPr>
          <w:rFonts w:ascii="Arial" w:hAnsi="Arial" w:cs="Arial"/>
        </w:rPr>
        <w:t xml:space="preserve">MSPS and ASP could have possibly prevented the negative public reaction to the concession by investing more effort upfront </w:t>
      </w:r>
      <w:r w:rsidR="00FD3837">
        <w:rPr>
          <w:rFonts w:ascii="Arial" w:hAnsi="Arial" w:cs="Arial"/>
        </w:rPr>
        <w:t xml:space="preserve">in </w:t>
      </w:r>
      <w:r w:rsidR="00F36ABC" w:rsidRPr="000A0BFB">
        <w:rPr>
          <w:rFonts w:ascii="Arial" w:hAnsi="Arial" w:cs="Arial"/>
        </w:rPr>
        <w:t>explaining and educating the public on the shift of service provision from DIMA to ASP and the specifics of the new metering system. Several other steps could have been taken to improve the project’s outcomes, including: conducting an in-depth evaluation of the impact of ASP’s social outreach efforts to improve them prior to installing new metering system; offering to finance the repair of leaky pipes in low-income households to quell suspicion about privatization; allowed low-income households with new connections to pay a fixed fee for the first few months to buy time to educate them on the consumption/volume-based tariff system.</w:t>
      </w:r>
    </w:p>
    <w:p w:rsidR="00105206" w:rsidRPr="000A0BFB" w:rsidRDefault="00105206" w:rsidP="00F2332A">
      <w:pPr>
        <w:jc w:val="both"/>
        <w:rPr>
          <w:rFonts w:ascii="Arial" w:hAnsi="Arial" w:cs="Arial"/>
          <w:b/>
          <w:i/>
        </w:rPr>
      </w:pPr>
    </w:p>
    <w:p w:rsidR="006015AA" w:rsidRPr="000A0BFB" w:rsidRDefault="001D23F4" w:rsidP="00F2332A">
      <w:pPr>
        <w:pStyle w:val="Heading2"/>
        <w:jc w:val="both"/>
        <w:rPr>
          <w:rFonts w:ascii="Arial" w:hAnsi="Arial" w:cs="Arial"/>
          <w:color w:val="92D050"/>
          <w:sz w:val="24"/>
        </w:rPr>
      </w:pPr>
      <w:bookmarkStart w:id="13" w:name="_Toc404073796"/>
      <w:r w:rsidRPr="000A0BFB">
        <w:rPr>
          <w:rFonts w:ascii="Arial" w:hAnsi="Arial" w:cs="Arial"/>
          <w:color w:val="92D050"/>
          <w:sz w:val="24"/>
        </w:rPr>
        <w:t xml:space="preserve">Ecuador: </w:t>
      </w:r>
      <w:r w:rsidR="00DF547B" w:rsidRPr="000A0BFB">
        <w:rPr>
          <w:rFonts w:ascii="Arial" w:hAnsi="Arial" w:cs="Arial"/>
          <w:color w:val="92D050"/>
          <w:sz w:val="24"/>
        </w:rPr>
        <w:t>Quito Wastewater Project</w:t>
      </w:r>
      <w:bookmarkEnd w:id="13"/>
    </w:p>
    <w:p w:rsidR="001D23F4" w:rsidRPr="000A0BFB" w:rsidRDefault="001D23F4" w:rsidP="00F2332A">
      <w:pPr>
        <w:jc w:val="both"/>
        <w:rPr>
          <w:rFonts w:ascii="Arial" w:hAnsi="Arial" w:cs="Arial"/>
        </w:rPr>
      </w:pPr>
    </w:p>
    <w:p w:rsidR="005520FF" w:rsidRPr="000A0BFB" w:rsidRDefault="005520FF" w:rsidP="00F2332A">
      <w:pPr>
        <w:jc w:val="both"/>
        <w:rPr>
          <w:rFonts w:ascii="Arial" w:hAnsi="Arial" w:cs="Arial"/>
          <w:b/>
        </w:rPr>
      </w:pPr>
      <w:r w:rsidRPr="000A0BFB">
        <w:rPr>
          <w:rFonts w:ascii="Arial" w:hAnsi="Arial" w:cs="Arial"/>
          <w:b/>
        </w:rPr>
        <w:t>Project Overview</w:t>
      </w:r>
    </w:p>
    <w:p w:rsidR="006015AA" w:rsidRPr="000A0BFB" w:rsidRDefault="006015AA" w:rsidP="00F2332A">
      <w:pPr>
        <w:jc w:val="both"/>
        <w:rPr>
          <w:rFonts w:ascii="Arial" w:hAnsi="Arial" w:cs="Arial"/>
        </w:rPr>
      </w:pPr>
      <w:r w:rsidRPr="000A0BFB">
        <w:rPr>
          <w:rFonts w:ascii="Arial" w:hAnsi="Arial" w:cs="Arial"/>
        </w:rPr>
        <w:t xml:space="preserve">In 1999, the Municipal Water and Wastewater Company of Quito started a </w:t>
      </w:r>
      <w:r w:rsidR="009C3978" w:rsidRPr="000A0BFB">
        <w:rPr>
          <w:rFonts w:ascii="Arial" w:hAnsi="Arial" w:cs="Arial"/>
        </w:rPr>
        <w:t>$</w:t>
      </w:r>
      <w:r w:rsidRPr="000A0BFB">
        <w:rPr>
          <w:rFonts w:ascii="Arial" w:hAnsi="Arial" w:cs="Arial"/>
        </w:rPr>
        <w:t xml:space="preserve">170million service provision upgrade project </w:t>
      </w:r>
      <w:r w:rsidR="00DF547B" w:rsidRPr="000A0BFB">
        <w:rPr>
          <w:rFonts w:ascii="Arial" w:hAnsi="Arial" w:cs="Arial"/>
        </w:rPr>
        <w:t>to extend access to</w:t>
      </w:r>
      <w:r w:rsidRPr="000A0BFB">
        <w:rPr>
          <w:rFonts w:ascii="Arial" w:hAnsi="Arial" w:cs="Arial"/>
        </w:rPr>
        <w:t xml:space="preserve"> impro</w:t>
      </w:r>
      <w:r w:rsidR="00DF547B" w:rsidRPr="000A0BFB">
        <w:rPr>
          <w:rFonts w:ascii="Arial" w:hAnsi="Arial" w:cs="Arial"/>
        </w:rPr>
        <w:t xml:space="preserve">ved water and sewerage to </w:t>
      </w:r>
      <w:r w:rsidRPr="000A0BFB">
        <w:rPr>
          <w:rFonts w:ascii="Arial" w:hAnsi="Arial" w:cs="Arial"/>
        </w:rPr>
        <w:t xml:space="preserve">600,000 </w:t>
      </w:r>
      <w:r w:rsidR="00DF547B" w:rsidRPr="000A0BFB">
        <w:rPr>
          <w:rFonts w:ascii="Arial" w:hAnsi="Arial" w:cs="Arial"/>
        </w:rPr>
        <w:t>residents</w:t>
      </w:r>
      <w:r w:rsidRPr="000A0BFB">
        <w:rPr>
          <w:rFonts w:ascii="Arial" w:hAnsi="Arial" w:cs="Arial"/>
        </w:rPr>
        <w:t xml:space="preserve">. The work </w:t>
      </w:r>
      <w:r w:rsidR="00D076A2" w:rsidRPr="000A0BFB">
        <w:rPr>
          <w:rFonts w:ascii="Arial" w:hAnsi="Arial" w:cs="Arial"/>
        </w:rPr>
        <w:t>was</w:t>
      </w:r>
      <w:r w:rsidR="0058392B">
        <w:rPr>
          <w:rFonts w:ascii="Arial" w:hAnsi="Arial" w:cs="Arial"/>
        </w:rPr>
        <w:t xml:space="preserve"> </w:t>
      </w:r>
      <w:r w:rsidRPr="000A0BFB">
        <w:rPr>
          <w:rFonts w:ascii="Arial" w:hAnsi="Arial" w:cs="Arial"/>
        </w:rPr>
        <w:t>supported by a loan from the I</w:t>
      </w:r>
      <w:r w:rsidR="00DF547B" w:rsidRPr="000A0BFB">
        <w:rPr>
          <w:rFonts w:ascii="Arial" w:hAnsi="Arial" w:cs="Arial"/>
        </w:rPr>
        <w:t>nter-</w:t>
      </w:r>
      <w:r w:rsidRPr="000A0BFB">
        <w:rPr>
          <w:rFonts w:ascii="Arial" w:hAnsi="Arial" w:cs="Arial"/>
        </w:rPr>
        <w:t>A</w:t>
      </w:r>
      <w:r w:rsidR="00DF547B" w:rsidRPr="000A0BFB">
        <w:rPr>
          <w:rFonts w:ascii="Arial" w:hAnsi="Arial" w:cs="Arial"/>
        </w:rPr>
        <w:t xml:space="preserve">merican </w:t>
      </w:r>
      <w:r w:rsidRPr="000A0BFB">
        <w:rPr>
          <w:rFonts w:ascii="Arial" w:hAnsi="Arial" w:cs="Arial"/>
        </w:rPr>
        <w:t>D</w:t>
      </w:r>
      <w:r w:rsidR="00DF547B" w:rsidRPr="000A0BFB">
        <w:rPr>
          <w:rFonts w:ascii="Arial" w:hAnsi="Arial" w:cs="Arial"/>
        </w:rPr>
        <w:t xml:space="preserve">evelopment </w:t>
      </w:r>
      <w:r w:rsidRPr="000A0BFB">
        <w:rPr>
          <w:rFonts w:ascii="Arial" w:hAnsi="Arial" w:cs="Arial"/>
        </w:rPr>
        <w:t>B</w:t>
      </w:r>
      <w:r w:rsidR="00DF547B" w:rsidRPr="000A0BFB">
        <w:rPr>
          <w:rFonts w:ascii="Arial" w:hAnsi="Arial" w:cs="Arial"/>
        </w:rPr>
        <w:t>ank (IADB)</w:t>
      </w:r>
      <w:r w:rsidR="006A40DD" w:rsidRPr="000A0BFB">
        <w:rPr>
          <w:rStyle w:val="FootnoteReference"/>
          <w:rFonts w:ascii="Arial" w:hAnsi="Arial" w:cs="Arial"/>
        </w:rPr>
        <w:footnoteReference w:id="33"/>
      </w:r>
      <w:r w:rsidR="008A4267" w:rsidRPr="000A0BFB">
        <w:rPr>
          <w:rFonts w:ascii="Arial" w:hAnsi="Arial" w:cs="Arial"/>
        </w:rPr>
        <w:t>.</w:t>
      </w:r>
      <w:r w:rsidR="00DF547B" w:rsidRPr="000A0BFB">
        <w:rPr>
          <w:rFonts w:ascii="Arial" w:hAnsi="Arial" w:cs="Arial"/>
        </w:rPr>
        <w:t xml:space="preserve"> The following year the City of Guyaquil signed a 30-year concession PPP with Interagua (Bechtel) and ECAPAG as part of a</w:t>
      </w:r>
      <w:r w:rsidR="00722599" w:rsidRPr="000A0BFB">
        <w:rPr>
          <w:rFonts w:ascii="Arial" w:hAnsi="Arial" w:cs="Arial"/>
        </w:rPr>
        <w:t>n</w:t>
      </w:r>
      <w:r w:rsidR="00DF547B" w:rsidRPr="000A0BFB">
        <w:rPr>
          <w:rFonts w:ascii="Arial" w:hAnsi="Arial" w:cs="Arial"/>
        </w:rPr>
        <w:t xml:space="preserve"> IADB loan program.</w:t>
      </w:r>
    </w:p>
    <w:p w:rsidR="006015AA" w:rsidRPr="000A0BFB" w:rsidRDefault="006015AA" w:rsidP="00F2332A">
      <w:pPr>
        <w:jc w:val="both"/>
        <w:rPr>
          <w:rFonts w:ascii="Arial" w:hAnsi="Arial" w:cs="Arial"/>
        </w:rPr>
      </w:pPr>
      <w:r w:rsidRPr="000A0BFB">
        <w:rPr>
          <w:rFonts w:ascii="Arial" w:hAnsi="Arial" w:cs="Arial"/>
        </w:rPr>
        <w:t xml:space="preserve">The PPP </w:t>
      </w:r>
      <w:r w:rsidR="00D1371B" w:rsidRPr="000A0BFB">
        <w:rPr>
          <w:rFonts w:ascii="Arial" w:hAnsi="Arial" w:cs="Arial"/>
        </w:rPr>
        <w:t xml:space="preserve">contract </w:t>
      </w:r>
      <w:r w:rsidRPr="000A0BFB">
        <w:rPr>
          <w:rFonts w:ascii="Arial" w:hAnsi="Arial" w:cs="Arial"/>
        </w:rPr>
        <w:t xml:space="preserve">makes the private contractor responsible for water treatment, transport, storage, delivery, and wastewater treatment. </w:t>
      </w:r>
      <w:r w:rsidR="00DF547B" w:rsidRPr="000A0BFB">
        <w:rPr>
          <w:rFonts w:ascii="Arial" w:hAnsi="Arial" w:cs="Arial"/>
        </w:rPr>
        <w:t>T</w:t>
      </w:r>
      <w:r w:rsidRPr="000A0BFB">
        <w:rPr>
          <w:rFonts w:ascii="Arial" w:hAnsi="Arial" w:cs="Arial"/>
        </w:rPr>
        <w:t>he private operator</w:t>
      </w:r>
      <w:r w:rsidR="00DF547B" w:rsidRPr="000A0BFB">
        <w:rPr>
          <w:rFonts w:ascii="Arial" w:hAnsi="Arial" w:cs="Arial"/>
        </w:rPr>
        <w:t>s</w:t>
      </w:r>
      <w:r w:rsidRPr="000A0BFB">
        <w:rPr>
          <w:rFonts w:ascii="Arial" w:hAnsi="Arial" w:cs="Arial"/>
        </w:rPr>
        <w:t xml:space="preserve"> committed to investing $500 million over the 30 year concession period, connecting 55,000 new customers, and increasing water service coverage from 53% to 90% of the population. </w:t>
      </w:r>
      <w:r w:rsidR="00D95341" w:rsidRPr="000A0BFB">
        <w:rPr>
          <w:rFonts w:ascii="Arial" w:hAnsi="Arial" w:cs="Arial"/>
        </w:rPr>
        <w:t>A surcharge on the customer fee is used to finance the sewerage extension.</w:t>
      </w:r>
    </w:p>
    <w:p w:rsidR="00D95341" w:rsidRPr="000A0BFB" w:rsidRDefault="00D95341" w:rsidP="00F2332A">
      <w:pPr>
        <w:jc w:val="both"/>
        <w:rPr>
          <w:rFonts w:ascii="Arial" w:hAnsi="Arial" w:cs="Arial"/>
          <w:b/>
        </w:rPr>
      </w:pPr>
      <w:r w:rsidRPr="000A0BFB">
        <w:rPr>
          <w:rFonts w:ascii="Arial" w:hAnsi="Arial" w:cs="Arial"/>
          <w:b/>
        </w:rPr>
        <w:t>Noteworthy Outcomes</w:t>
      </w:r>
    </w:p>
    <w:p w:rsidR="00D95341" w:rsidRPr="000A0BFB" w:rsidRDefault="00D95341" w:rsidP="00F2332A">
      <w:pPr>
        <w:jc w:val="both"/>
        <w:rPr>
          <w:rFonts w:ascii="Arial" w:hAnsi="Arial" w:cs="Arial"/>
        </w:rPr>
      </w:pPr>
      <w:r w:rsidRPr="000A0BFB">
        <w:rPr>
          <w:rFonts w:ascii="Arial" w:hAnsi="Arial" w:cs="Arial"/>
        </w:rPr>
        <w:t>The private operators, Bechtel in particular, have come under significant fire for what critics claim is non-compliance with the service terms of the PPP contract.  Critics claimed that Bechtel had</w:t>
      </w:r>
      <w:r w:rsidR="006015AA" w:rsidRPr="000A0BFB">
        <w:rPr>
          <w:rFonts w:ascii="Arial" w:hAnsi="Arial" w:cs="Arial"/>
        </w:rPr>
        <w:t xml:space="preserve"> not begun to fulfill </w:t>
      </w:r>
      <w:r w:rsidRPr="000A0BFB">
        <w:rPr>
          <w:rFonts w:ascii="Arial" w:hAnsi="Arial" w:cs="Arial"/>
        </w:rPr>
        <w:t>its contractual</w:t>
      </w:r>
      <w:r w:rsidR="006015AA" w:rsidRPr="000A0BFB">
        <w:rPr>
          <w:rFonts w:ascii="Arial" w:hAnsi="Arial" w:cs="Arial"/>
        </w:rPr>
        <w:t xml:space="preserve"> commitments and </w:t>
      </w:r>
      <w:r w:rsidRPr="000A0BFB">
        <w:rPr>
          <w:rFonts w:ascii="Arial" w:hAnsi="Arial" w:cs="Arial"/>
        </w:rPr>
        <w:t xml:space="preserve">that </w:t>
      </w:r>
      <w:r w:rsidR="006015AA" w:rsidRPr="000A0BFB">
        <w:rPr>
          <w:rFonts w:ascii="Arial" w:hAnsi="Arial" w:cs="Arial"/>
        </w:rPr>
        <w:t>there have been increasing complaints from customers of unreliable water service, broken pipes, etc.</w:t>
      </w:r>
      <w:r w:rsidR="006015AA" w:rsidRPr="000A0BFB">
        <w:rPr>
          <w:rStyle w:val="FootnoteReference"/>
          <w:rFonts w:ascii="Arial" w:hAnsi="Arial" w:cs="Arial"/>
        </w:rPr>
        <w:footnoteReference w:id="34"/>
      </w:r>
      <w:r w:rsidRPr="000A0BFB">
        <w:rPr>
          <w:rFonts w:ascii="Arial" w:hAnsi="Arial" w:cs="Arial"/>
        </w:rPr>
        <w:t xml:space="preserve"> In 2005 advocacy groups such as </w:t>
      </w:r>
      <w:r w:rsidRPr="000A0BFB">
        <w:rPr>
          <w:rFonts w:ascii="Arial" w:hAnsi="Arial" w:cs="Arial"/>
          <w:szCs w:val="18"/>
          <w:shd w:val="clear" w:color="auto" w:fill="FFFFFF"/>
        </w:rPr>
        <w:t xml:space="preserve">the Observatorio Cuidadano de Servicios Publicos (Citizen‚ Observatory for </w:t>
      </w:r>
      <w:r w:rsidRPr="000A0BFB">
        <w:rPr>
          <w:rFonts w:ascii="Arial" w:hAnsi="Arial" w:cs="Arial"/>
          <w:szCs w:val="18"/>
          <w:shd w:val="clear" w:color="auto" w:fill="FFFFFF"/>
        </w:rPr>
        <w:lastRenderedPageBreak/>
        <w:t xml:space="preserve">Public Services) documented these apparent violations and </w:t>
      </w:r>
      <w:r w:rsidRPr="000A0BFB">
        <w:rPr>
          <w:rFonts w:ascii="Arial" w:hAnsi="Arial" w:cs="Arial"/>
          <w:shd w:val="clear" w:color="auto" w:fill="FFFFFF"/>
        </w:rPr>
        <w:t>called on the regulatory agency ECAPAG to fine Bechtel for US$1.5 million for non-compliance with its contractual obligations.</w:t>
      </w:r>
      <w:r w:rsidRPr="000A0BFB">
        <w:rPr>
          <w:rStyle w:val="FootnoteReference"/>
          <w:rFonts w:ascii="Arial" w:hAnsi="Arial" w:cs="Arial"/>
          <w:shd w:val="clear" w:color="auto" w:fill="FFFFFF"/>
        </w:rPr>
        <w:footnoteReference w:id="35"/>
      </w:r>
    </w:p>
    <w:p w:rsidR="00264010" w:rsidRPr="000A0BFB" w:rsidRDefault="006015AA" w:rsidP="00F2332A">
      <w:pPr>
        <w:jc w:val="both"/>
        <w:rPr>
          <w:rFonts w:ascii="Arial" w:hAnsi="Arial" w:cs="Arial"/>
        </w:rPr>
      </w:pPr>
      <w:r w:rsidRPr="000A0BFB">
        <w:rPr>
          <w:rFonts w:ascii="Arial" w:hAnsi="Arial" w:cs="Arial"/>
          <w:shd w:val="clear" w:color="auto" w:fill="FFFFFF"/>
        </w:rPr>
        <w:t>While the concession was under political pressure in 2009-2010, it is understood to continue to operate in a normal manner.</w:t>
      </w:r>
      <w:r w:rsidRPr="000A0BFB">
        <w:rPr>
          <w:rStyle w:val="FootnoteReference"/>
          <w:rFonts w:ascii="Arial" w:hAnsi="Arial" w:cs="Arial"/>
          <w:shd w:val="clear" w:color="auto" w:fill="FFFFFF"/>
        </w:rPr>
        <w:footnoteReference w:id="36"/>
      </w:r>
    </w:p>
    <w:p w:rsidR="00262C1B" w:rsidRPr="000A0BFB" w:rsidRDefault="00105206" w:rsidP="00F2332A">
      <w:pPr>
        <w:jc w:val="both"/>
        <w:rPr>
          <w:rFonts w:ascii="Arial" w:hAnsi="Arial" w:cs="Arial"/>
          <w:b/>
        </w:rPr>
      </w:pPr>
      <w:r>
        <w:rPr>
          <w:rFonts w:ascii="Arial" w:hAnsi="Arial" w:cs="Arial"/>
          <w:b/>
        </w:rPr>
        <w:t>Key</w:t>
      </w:r>
      <w:r w:rsidR="0058392B">
        <w:rPr>
          <w:rFonts w:ascii="Arial" w:hAnsi="Arial" w:cs="Arial"/>
          <w:b/>
        </w:rPr>
        <w:t xml:space="preserve"> </w:t>
      </w:r>
      <w:r w:rsidR="0048559D">
        <w:rPr>
          <w:rFonts w:ascii="Arial" w:hAnsi="Arial" w:cs="Arial"/>
          <w:b/>
        </w:rPr>
        <w:t xml:space="preserve">Success </w:t>
      </w:r>
      <w:r w:rsidR="00262C1B" w:rsidRPr="000A0BFB">
        <w:rPr>
          <w:rFonts w:ascii="Arial" w:hAnsi="Arial" w:cs="Arial"/>
          <w:b/>
        </w:rPr>
        <w:t xml:space="preserve">Factors </w:t>
      </w:r>
    </w:p>
    <w:p w:rsidR="00007425" w:rsidRPr="000A0BFB" w:rsidRDefault="00F6396C" w:rsidP="00F2332A">
      <w:pPr>
        <w:jc w:val="both"/>
        <w:rPr>
          <w:rFonts w:ascii="Arial" w:hAnsi="Arial" w:cs="Arial"/>
        </w:rPr>
      </w:pPr>
      <w:r w:rsidRPr="000A0BFB">
        <w:rPr>
          <w:rFonts w:ascii="Arial" w:hAnsi="Arial" w:cs="Arial"/>
          <w:b/>
          <w:i/>
        </w:rPr>
        <w:t>Clarity in Operational Rules</w:t>
      </w:r>
      <w:r w:rsidR="00007425" w:rsidRPr="000A0BFB">
        <w:rPr>
          <w:rFonts w:ascii="Arial" w:hAnsi="Arial" w:cs="Arial"/>
          <w:b/>
          <w:i/>
        </w:rPr>
        <w:t>:</w:t>
      </w:r>
      <w:r w:rsidR="0058392B">
        <w:rPr>
          <w:rFonts w:ascii="Arial" w:hAnsi="Arial" w:cs="Arial"/>
          <w:b/>
          <w:i/>
        </w:rPr>
        <w:t xml:space="preserve"> </w:t>
      </w:r>
      <w:r w:rsidR="00E3314B" w:rsidRPr="000A0BFB">
        <w:rPr>
          <w:rFonts w:ascii="Arial" w:hAnsi="Arial" w:cs="Arial"/>
        </w:rPr>
        <w:t>The contract explicitly noted that any breach in operational rules that governs the relationship between the private operator and customers is liable to a fine of $5,000 per event. However, the agreement does not reference in which</w:t>
      </w:r>
      <w:r w:rsidR="00D1371B" w:rsidRPr="000A0BFB">
        <w:rPr>
          <w:rFonts w:ascii="Arial" w:hAnsi="Arial" w:cs="Arial"/>
        </w:rPr>
        <w:t xml:space="preserve"> situation</w:t>
      </w:r>
      <w:r w:rsidR="00E3314B" w:rsidRPr="000A0BFB">
        <w:rPr>
          <w:rFonts w:ascii="Arial" w:hAnsi="Arial" w:cs="Arial"/>
        </w:rPr>
        <w:t xml:space="preserve"> such a sanction should be imposed. For example, a lack of responsiveness to a customer complaint could be considered a complaint by the regulator, and the private operator could be asked to pay the fine. The agreement does not define what a customer </w:t>
      </w:r>
      <w:r w:rsidR="00D1371B" w:rsidRPr="000A0BFB">
        <w:rPr>
          <w:rFonts w:ascii="Arial" w:hAnsi="Arial" w:cs="Arial"/>
        </w:rPr>
        <w:t xml:space="preserve">complaint </w:t>
      </w:r>
      <w:r w:rsidR="00E3314B" w:rsidRPr="000A0BFB">
        <w:rPr>
          <w:rFonts w:ascii="Arial" w:hAnsi="Arial" w:cs="Arial"/>
        </w:rPr>
        <w:t xml:space="preserve">is nor does it explain the time the operators </w:t>
      </w:r>
      <w:r w:rsidR="00B867C7" w:rsidRPr="000A0BFB">
        <w:rPr>
          <w:rFonts w:ascii="Arial" w:hAnsi="Arial" w:cs="Arial"/>
        </w:rPr>
        <w:t xml:space="preserve">have </w:t>
      </w:r>
      <w:r w:rsidR="00E3314B" w:rsidRPr="000A0BFB">
        <w:rPr>
          <w:rFonts w:ascii="Arial" w:hAnsi="Arial" w:cs="Arial"/>
        </w:rPr>
        <w:t>to respond to such complains. The agreement also does not put a cap on the provision, so an operator could potentially have cumulatively millions of dollars in fines for not responding to customer calls. This shows a gap in the structure of the PPP arrangement for clarifying clauses for the $5,000 fine.</w:t>
      </w:r>
      <w:r w:rsidR="00007425" w:rsidRPr="000A0BFB">
        <w:rPr>
          <w:rStyle w:val="FootnoteReference"/>
          <w:rFonts w:ascii="Arial" w:hAnsi="Arial" w:cs="Arial"/>
        </w:rPr>
        <w:footnoteReference w:id="37"/>
      </w:r>
    </w:p>
    <w:p w:rsidR="002C0754" w:rsidRPr="000A0BFB" w:rsidRDefault="002C0754" w:rsidP="00F2332A">
      <w:pPr>
        <w:jc w:val="both"/>
        <w:rPr>
          <w:rFonts w:ascii="Arial" w:hAnsi="Arial" w:cs="Arial"/>
        </w:rPr>
      </w:pPr>
      <w:r w:rsidRPr="000A0BFB">
        <w:rPr>
          <w:rFonts w:ascii="Arial" w:hAnsi="Arial" w:cs="Arial"/>
          <w:b/>
          <w:i/>
        </w:rPr>
        <w:t>Transparent Procurement</w:t>
      </w:r>
      <w:r w:rsidRPr="000A0BFB">
        <w:rPr>
          <w:rFonts w:ascii="Arial" w:hAnsi="Arial" w:cs="Arial"/>
        </w:rPr>
        <w:t xml:space="preserve">: Make sure the process is transparent and that all clauses are clearly outlined to prevent such situations as the breach in operational rules. </w:t>
      </w:r>
    </w:p>
    <w:p w:rsidR="00CD1D20" w:rsidRDefault="004D1010" w:rsidP="00F2332A">
      <w:pPr>
        <w:jc w:val="both"/>
        <w:rPr>
          <w:rFonts w:ascii="Arial" w:hAnsi="Arial" w:cs="Arial"/>
        </w:rPr>
      </w:pPr>
      <w:r>
        <w:rPr>
          <w:rFonts w:ascii="Arial" w:hAnsi="Arial" w:cs="Arial"/>
          <w:b/>
          <w:i/>
        </w:rPr>
        <w:t>Appropriate Project Structuring</w:t>
      </w:r>
      <w:r w:rsidR="006D4FF3" w:rsidRPr="000A0BFB">
        <w:rPr>
          <w:rFonts w:ascii="Arial" w:hAnsi="Arial" w:cs="Arial"/>
        </w:rPr>
        <w:t>: In this particular case study, operators were required to post monthly reports to their regulators. The frequency of these reports may be different between PPPs, as capacity and cost concerns may arise.</w:t>
      </w:r>
    </w:p>
    <w:p w:rsidR="00105206" w:rsidRPr="000A0BFB" w:rsidRDefault="00105206" w:rsidP="00F2332A">
      <w:pPr>
        <w:jc w:val="both"/>
        <w:rPr>
          <w:rFonts w:ascii="Arial" w:hAnsi="Arial" w:cs="Arial"/>
        </w:rPr>
      </w:pPr>
    </w:p>
    <w:p w:rsidR="002267DB" w:rsidRPr="000A0BFB" w:rsidRDefault="001D23F4" w:rsidP="00F2332A">
      <w:pPr>
        <w:pStyle w:val="Heading2"/>
        <w:jc w:val="both"/>
        <w:rPr>
          <w:rFonts w:ascii="Arial" w:hAnsi="Arial" w:cs="Arial"/>
          <w:color w:val="92D050"/>
          <w:sz w:val="22"/>
        </w:rPr>
      </w:pPr>
      <w:bookmarkStart w:id="14" w:name="_Toc404073797"/>
      <w:r w:rsidRPr="000A0BFB">
        <w:rPr>
          <w:rFonts w:ascii="Arial" w:hAnsi="Arial" w:cs="Arial"/>
          <w:color w:val="92D050"/>
          <w:sz w:val="22"/>
        </w:rPr>
        <w:t>Argentina:</w:t>
      </w:r>
      <w:r w:rsidR="00EB24D4" w:rsidRPr="000A0BFB">
        <w:rPr>
          <w:rFonts w:ascii="Arial" w:hAnsi="Arial" w:cs="Arial"/>
          <w:color w:val="92D050"/>
          <w:sz w:val="22"/>
        </w:rPr>
        <w:t xml:space="preserve"> Salta Wastewater PPP</w:t>
      </w:r>
      <w:bookmarkEnd w:id="14"/>
    </w:p>
    <w:p w:rsidR="001D23F4" w:rsidRPr="000A0BFB" w:rsidRDefault="001D23F4" w:rsidP="00F2332A">
      <w:pPr>
        <w:jc w:val="both"/>
        <w:rPr>
          <w:rFonts w:ascii="Arial" w:hAnsi="Arial" w:cs="Arial"/>
        </w:rPr>
      </w:pPr>
    </w:p>
    <w:p w:rsidR="00EB24D4" w:rsidRPr="000A0BFB" w:rsidRDefault="00EB24D4" w:rsidP="00F2332A">
      <w:pPr>
        <w:jc w:val="both"/>
        <w:rPr>
          <w:rFonts w:ascii="Arial" w:hAnsi="Arial" w:cs="Arial"/>
          <w:b/>
        </w:rPr>
      </w:pPr>
      <w:r w:rsidRPr="000A0BFB">
        <w:rPr>
          <w:rFonts w:ascii="Arial" w:hAnsi="Arial" w:cs="Arial"/>
          <w:b/>
        </w:rPr>
        <w:t>Project Overview</w:t>
      </w:r>
    </w:p>
    <w:p w:rsidR="00821F30" w:rsidRPr="000A0BFB" w:rsidRDefault="00550F50" w:rsidP="00F2332A">
      <w:pPr>
        <w:jc w:val="both"/>
        <w:rPr>
          <w:rFonts w:ascii="Arial" w:hAnsi="Arial" w:cs="Arial"/>
        </w:rPr>
      </w:pPr>
      <w:r w:rsidRPr="000A0BFB">
        <w:rPr>
          <w:rFonts w:ascii="Arial" w:hAnsi="Arial" w:cs="Arial"/>
        </w:rPr>
        <w:t>In spite of its location in a poor province of Salta</w:t>
      </w:r>
      <w:r w:rsidR="00D1371B" w:rsidRPr="000A0BFB">
        <w:rPr>
          <w:rFonts w:ascii="Arial" w:hAnsi="Arial" w:cs="Arial"/>
        </w:rPr>
        <w:t xml:space="preserve"> in</w:t>
      </w:r>
      <w:r w:rsidR="0058392B">
        <w:rPr>
          <w:rFonts w:ascii="Arial" w:hAnsi="Arial" w:cs="Arial"/>
        </w:rPr>
        <w:t xml:space="preserve"> </w:t>
      </w:r>
      <w:r w:rsidRPr="000A0BFB">
        <w:rPr>
          <w:rFonts w:ascii="Arial" w:hAnsi="Arial" w:cs="Arial"/>
        </w:rPr>
        <w:t>Argentin</w:t>
      </w:r>
      <w:r w:rsidR="00D1371B" w:rsidRPr="000A0BFB">
        <w:rPr>
          <w:rFonts w:ascii="Arial" w:hAnsi="Arial" w:cs="Arial"/>
        </w:rPr>
        <w:t>a</w:t>
      </w:r>
      <w:r w:rsidRPr="000A0BFB">
        <w:rPr>
          <w:rFonts w:ascii="Arial" w:hAnsi="Arial" w:cs="Arial"/>
        </w:rPr>
        <w:t xml:space="preserve"> during a period of severe economic crisis, the </w:t>
      </w:r>
      <w:r w:rsidR="00EB24D4" w:rsidRPr="000A0BFB">
        <w:rPr>
          <w:rFonts w:ascii="Arial" w:hAnsi="Arial" w:cs="Arial"/>
        </w:rPr>
        <w:t xml:space="preserve">case of </w:t>
      </w:r>
      <w:r w:rsidRPr="000A0BFB">
        <w:rPr>
          <w:rFonts w:ascii="Arial" w:hAnsi="Arial" w:cs="Arial"/>
        </w:rPr>
        <w:t>Salta’s</w:t>
      </w:r>
      <w:r w:rsidR="0058392B">
        <w:rPr>
          <w:rFonts w:ascii="Arial" w:hAnsi="Arial" w:cs="Arial"/>
        </w:rPr>
        <w:t xml:space="preserve"> </w:t>
      </w:r>
      <w:r w:rsidR="001A6778" w:rsidRPr="000A0BFB">
        <w:rPr>
          <w:rFonts w:ascii="Arial" w:hAnsi="Arial" w:cs="Arial"/>
        </w:rPr>
        <w:t>waste</w:t>
      </w:r>
      <w:r w:rsidR="00EB24D4" w:rsidRPr="000A0BFB">
        <w:rPr>
          <w:rFonts w:ascii="Arial" w:hAnsi="Arial" w:cs="Arial"/>
        </w:rPr>
        <w:t xml:space="preserve">water concession provides an example of a successful </w:t>
      </w:r>
      <w:r w:rsidR="0088018F" w:rsidRPr="000A0BFB">
        <w:rPr>
          <w:rFonts w:ascii="Arial" w:hAnsi="Arial" w:cs="Arial"/>
        </w:rPr>
        <w:t xml:space="preserve">PPP. </w:t>
      </w:r>
      <w:r w:rsidR="00821F30" w:rsidRPr="000A0BFB">
        <w:rPr>
          <w:rFonts w:ascii="Arial" w:hAnsi="Arial" w:cs="Arial"/>
        </w:rPr>
        <w:t>In 1982 the responsibility of providing water and sanitation services shifted from the purview of the national public utility company to provisional governments. This decentralization of service provision allowed each province to focus on addressing their specific needs in their own ways. Many chose a combination of public and private service providers.</w:t>
      </w:r>
      <w:r w:rsidR="00821F30" w:rsidRPr="000A0BFB">
        <w:rPr>
          <w:rStyle w:val="FootnoteReference"/>
          <w:rFonts w:ascii="Arial" w:hAnsi="Arial" w:cs="Arial"/>
        </w:rPr>
        <w:footnoteReference w:id="38"/>
      </w:r>
    </w:p>
    <w:p w:rsidR="00EB24D4" w:rsidRPr="000A0BFB" w:rsidRDefault="00821F30" w:rsidP="00F2332A">
      <w:pPr>
        <w:jc w:val="both"/>
        <w:rPr>
          <w:rFonts w:ascii="Arial" w:hAnsi="Arial" w:cs="Arial"/>
        </w:rPr>
      </w:pPr>
      <w:r w:rsidRPr="000A0BFB">
        <w:rPr>
          <w:rFonts w:ascii="Arial" w:hAnsi="Arial" w:cs="Arial"/>
        </w:rPr>
        <w:t xml:space="preserve">The Salta province began its water sector reform in 1996 prompted by the local sector’s low coverage and poor performance related to limited management capacity and investment. Specifically, prior to the reforms the General Water Administration Authority (AGAS in Spanish) provided water and sanitation services to 43 of the province’s 58 municipalities, with a 68% </w:t>
      </w:r>
      <w:r w:rsidRPr="000A0BFB">
        <w:rPr>
          <w:rFonts w:ascii="Arial" w:hAnsi="Arial" w:cs="Arial"/>
        </w:rPr>
        <w:lastRenderedPageBreak/>
        <w:t>coverage rate for sewage in those 43 areas.</w:t>
      </w:r>
      <w:r w:rsidRPr="000A0BFB">
        <w:rPr>
          <w:rStyle w:val="FootnoteReference"/>
          <w:rFonts w:ascii="Arial" w:hAnsi="Arial" w:cs="Arial"/>
        </w:rPr>
        <w:footnoteReference w:id="39"/>
      </w:r>
      <w:r w:rsidR="005545F3" w:rsidRPr="000A0BFB">
        <w:rPr>
          <w:rFonts w:ascii="Arial" w:hAnsi="Arial" w:cs="Arial"/>
        </w:rPr>
        <w:t>A</w:t>
      </w:r>
      <w:r w:rsidR="001F4EE3" w:rsidRPr="000A0BFB">
        <w:rPr>
          <w:rFonts w:ascii="Arial" w:hAnsi="Arial" w:cs="Arial"/>
        </w:rPr>
        <w:t xml:space="preserve">s part of the reform, the </w:t>
      </w:r>
      <w:r w:rsidR="005545F3" w:rsidRPr="000A0BFB">
        <w:rPr>
          <w:rFonts w:ascii="Arial" w:hAnsi="Arial" w:cs="Arial"/>
        </w:rPr>
        <w:t xml:space="preserve">power to delegate water and sanitation services was transferred from the legislative to the executive branch of provincial government.  Once this shift was made, the water company, AGAS, was </w:t>
      </w:r>
      <w:r w:rsidR="001F4EE3" w:rsidRPr="000A0BFB">
        <w:rPr>
          <w:rFonts w:ascii="Arial" w:hAnsi="Arial" w:cs="Arial"/>
        </w:rPr>
        <w:t xml:space="preserve">put on sale through an international procurement process for a </w:t>
      </w:r>
      <w:r w:rsidR="005545F3" w:rsidRPr="000A0BFB">
        <w:rPr>
          <w:rFonts w:ascii="Arial" w:hAnsi="Arial" w:cs="Arial"/>
        </w:rPr>
        <w:t>concession contract</w:t>
      </w:r>
      <w:r w:rsidR="001F4EE3" w:rsidRPr="000A0BFB">
        <w:rPr>
          <w:rFonts w:ascii="Arial" w:hAnsi="Arial" w:cs="Arial"/>
        </w:rPr>
        <w:t xml:space="preserve">, which was </w:t>
      </w:r>
      <w:r w:rsidR="005545F3" w:rsidRPr="000A0BFB">
        <w:rPr>
          <w:rFonts w:ascii="Arial" w:hAnsi="Arial" w:cs="Arial"/>
        </w:rPr>
        <w:t xml:space="preserve">awarded to Aguas de Salta S.A. (ASSA, later called SPASSA) in 1999. Ultimately, the shares were transferred to Latin Aguas, S.A., which operates two other concessions in Argentina. </w:t>
      </w:r>
    </w:p>
    <w:p w:rsidR="00C17A6F" w:rsidRPr="000A0BFB" w:rsidRDefault="00C17A6F" w:rsidP="00F2332A">
      <w:pPr>
        <w:jc w:val="both"/>
        <w:rPr>
          <w:rFonts w:ascii="Arial" w:hAnsi="Arial" w:cs="Arial"/>
        </w:rPr>
      </w:pPr>
      <w:r w:rsidRPr="000A0BFB">
        <w:rPr>
          <w:rFonts w:ascii="Arial" w:hAnsi="Arial" w:cs="Arial"/>
        </w:rPr>
        <w:t xml:space="preserve">The PPP was largely driven by the goal of reaching universal coverage, so the concessionaire was supported by the Provincial Government and the independent regulator to make the necessary steps towards </w:t>
      </w:r>
      <w:r w:rsidR="00D1371B" w:rsidRPr="000A0BFB">
        <w:rPr>
          <w:rFonts w:ascii="Arial" w:hAnsi="Arial" w:cs="Arial"/>
        </w:rPr>
        <w:t xml:space="preserve">the achievement of </w:t>
      </w:r>
      <w:r w:rsidRPr="000A0BFB">
        <w:rPr>
          <w:rFonts w:ascii="Arial" w:hAnsi="Arial" w:cs="Arial"/>
        </w:rPr>
        <w:t>this</w:t>
      </w:r>
      <w:r w:rsidR="00D1371B" w:rsidRPr="000A0BFB">
        <w:rPr>
          <w:rFonts w:ascii="Arial" w:hAnsi="Arial" w:cs="Arial"/>
        </w:rPr>
        <w:t xml:space="preserve"> goal</w:t>
      </w:r>
      <w:r w:rsidRPr="000A0BFB">
        <w:rPr>
          <w:rFonts w:ascii="Arial" w:hAnsi="Arial" w:cs="Arial"/>
        </w:rPr>
        <w:t xml:space="preserve">. What makes the Salta case unique is that not only did the PPP focus on universal coverage, but there was also a focus extending services to poor populations within the province and practical tools, including a targeted, government sponsored subsidy plan and a menu of permissible service levels, were deployed towards this end. Not only did the Provincial Government support these goals by investment funds from its own budget, but it also approved a series of tariff increases to allow the concessionaire </w:t>
      </w:r>
      <w:r w:rsidR="00D1371B" w:rsidRPr="000A0BFB">
        <w:rPr>
          <w:rFonts w:ascii="Arial" w:hAnsi="Arial" w:cs="Arial"/>
        </w:rPr>
        <w:t xml:space="preserve">to </w:t>
      </w:r>
      <w:r w:rsidRPr="000A0BFB">
        <w:rPr>
          <w:rFonts w:ascii="Arial" w:hAnsi="Arial" w:cs="Arial"/>
        </w:rPr>
        <w:t xml:space="preserve">reach financial equilibrium. Salta is one of the few provinces in Argentina that has, since the economic crisis of 2002, benefitted from a ‘virtuous cycle’ of improved service, increased political will to invest, and increased tariff levels, with public subsidies for poor users. </w:t>
      </w:r>
    </w:p>
    <w:p w:rsidR="00C17A6F" w:rsidRPr="000A0BFB" w:rsidRDefault="00C17A6F" w:rsidP="00F2332A">
      <w:pPr>
        <w:jc w:val="both"/>
        <w:rPr>
          <w:rFonts w:ascii="Arial" w:hAnsi="Arial" w:cs="Arial"/>
        </w:rPr>
      </w:pPr>
      <w:r w:rsidRPr="000A0BFB">
        <w:rPr>
          <w:rFonts w:ascii="Arial" w:hAnsi="Arial" w:cs="Arial"/>
        </w:rPr>
        <w:t>The Provincial Government’s funding of subsidies for low-income customers is a crucial part of the partnership. The government’s eligibility requirements for the subsidy include income, housing characteristics, household size and the number of students in the household. Controls within the application process ensure only low-income households benefit from the subsidies</w:t>
      </w:r>
      <w:r w:rsidR="0088018F" w:rsidRPr="000A0BFB">
        <w:rPr>
          <w:rFonts w:ascii="Arial" w:hAnsi="Arial" w:cs="Arial"/>
        </w:rPr>
        <w:t xml:space="preserve">. </w:t>
      </w:r>
    </w:p>
    <w:p w:rsidR="001A6778" w:rsidRPr="000A0BFB" w:rsidRDefault="00D95691" w:rsidP="00F2332A">
      <w:pPr>
        <w:jc w:val="both"/>
        <w:rPr>
          <w:rFonts w:ascii="Arial" w:hAnsi="Arial" w:cs="Arial"/>
          <w:b/>
        </w:rPr>
      </w:pPr>
      <w:r>
        <w:rPr>
          <w:rFonts w:ascii="Arial" w:hAnsi="Arial" w:cs="Arial"/>
          <w:b/>
        </w:rPr>
        <w:t>Noteworthy Outcomes</w:t>
      </w:r>
    </w:p>
    <w:p w:rsidR="005545F3" w:rsidRPr="000A0BFB" w:rsidRDefault="005545F3" w:rsidP="00F2332A">
      <w:pPr>
        <w:jc w:val="both"/>
        <w:rPr>
          <w:rFonts w:ascii="Arial" w:hAnsi="Arial" w:cs="Arial"/>
        </w:rPr>
      </w:pPr>
      <w:r w:rsidRPr="000A0BFB">
        <w:rPr>
          <w:rFonts w:ascii="Arial" w:hAnsi="Arial" w:cs="Arial"/>
        </w:rPr>
        <w:t xml:space="preserve">As a result of the concession, the provider expanded </w:t>
      </w:r>
      <w:r w:rsidR="00D1371B" w:rsidRPr="000A0BFB">
        <w:rPr>
          <w:rFonts w:ascii="Arial" w:hAnsi="Arial" w:cs="Arial"/>
        </w:rPr>
        <w:t xml:space="preserve">service </w:t>
      </w:r>
      <w:r w:rsidRPr="000A0BFB">
        <w:rPr>
          <w:rFonts w:ascii="Arial" w:hAnsi="Arial" w:cs="Arial"/>
        </w:rPr>
        <w:t>to additional municipalities</w:t>
      </w:r>
      <w:r w:rsidR="00E84D9E" w:rsidRPr="000A0BFB">
        <w:rPr>
          <w:rFonts w:ascii="Arial" w:hAnsi="Arial" w:cs="Arial"/>
        </w:rPr>
        <w:t xml:space="preserve">. The number of municipalities served by the concessionaire </w:t>
      </w:r>
      <w:r w:rsidRPr="000A0BFB">
        <w:rPr>
          <w:rFonts w:ascii="Arial" w:hAnsi="Arial" w:cs="Arial"/>
        </w:rPr>
        <w:t>increas</w:t>
      </w:r>
      <w:r w:rsidR="00E84D9E" w:rsidRPr="000A0BFB">
        <w:rPr>
          <w:rFonts w:ascii="Arial" w:hAnsi="Arial" w:cs="Arial"/>
        </w:rPr>
        <w:t>ed</w:t>
      </w:r>
      <w:r w:rsidRPr="000A0BFB">
        <w:rPr>
          <w:rFonts w:ascii="Arial" w:hAnsi="Arial" w:cs="Arial"/>
        </w:rPr>
        <w:t xml:space="preserve"> from 43 to 56 municipalities by 2005</w:t>
      </w:r>
      <w:r w:rsidR="00E84D9E" w:rsidRPr="000A0BFB">
        <w:rPr>
          <w:rFonts w:ascii="Arial" w:hAnsi="Arial" w:cs="Arial"/>
        </w:rPr>
        <w:t>, sanitation coverage increased for 54% to 84%, and 95% of wastewater collected was treated.</w:t>
      </w:r>
      <w:r w:rsidR="0058392B">
        <w:rPr>
          <w:rFonts w:ascii="Arial" w:hAnsi="Arial" w:cs="Arial"/>
        </w:rPr>
        <w:t xml:space="preserve"> </w:t>
      </w:r>
      <w:r w:rsidR="002A50A4" w:rsidRPr="000A0BFB">
        <w:rPr>
          <w:rFonts w:ascii="Arial" w:hAnsi="Arial" w:cs="Arial"/>
        </w:rPr>
        <w:t>Service quality improved drastically; the percentage of people negatively affected by interruptions decreased from 32% to 8%</w:t>
      </w:r>
      <w:r w:rsidR="00E84D9E" w:rsidRPr="000A0BFB">
        <w:rPr>
          <w:rFonts w:ascii="Arial" w:hAnsi="Arial" w:cs="Arial"/>
        </w:rPr>
        <w:t>.</w:t>
      </w:r>
      <w:r w:rsidR="002A50A4" w:rsidRPr="000A0BFB">
        <w:rPr>
          <w:rFonts w:ascii="Arial" w:hAnsi="Arial" w:cs="Arial"/>
        </w:rPr>
        <w:t xml:space="preserve"> Lastly, the company also improved its billing and customer service by combining its revenue collection with that of the electricity company to reach a collection rate of 90% and by establishing a toll-free customer service line.</w:t>
      </w:r>
    </w:p>
    <w:p w:rsidR="00060E9C" w:rsidRPr="000A0BFB" w:rsidRDefault="00CA7A06" w:rsidP="00F2332A">
      <w:pPr>
        <w:jc w:val="both"/>
        <w:rPr>
          <w:rFonts w:ascii="Arial" w:hAnsi="Arial" w:cs="Arial"/>
          <w:b/>
        </w:rPr>
      </w:pPr>
      <w:r>
        <w:rPr>
          <w:rFonts w:ascii="Arial" w:hAnsi="Arial" w:cs="Arial"/>
          <w:b/>
        </w:rPr>
        <w:t>Key</w:t>
      </w:r>
      <w:r w:rsidR="0058392B">
        <w:rPr>
          <w:rFonts w:ascii="Arial" w:hAnsi="Arial" w:cs="Arial"/>
          <w:b/>
        </w:rPr>
        <w:t xml:space="preserve"> </w:t>
      </w:r>
      <w:r w:rsidR="0048559D">
        <w:rPr>
          <w:rFonts w:ascii="Arial" w:hAnsi="Arial" w:cs="Arial"/>
          <w:b/>
        </w:rPr>
        <w:t xml:space="preserve">Success </w:t>
      </w:r>
      <w:r w:rsidR="00262C1B" w:rsidRPr="000A0BFB">
        <w:rPr>
          <w:rFonts w:ascii="Arial" w:hAnsi="Arial" w:cs="Arial"/>
          <w:b/>
        </w:rPr>
        <w:t xml:space="preserve">Factors </w:t>
      </w:r>
    </w:p>
    <w:p w:rsidR="004D1010" w:rsidRPr="000A0BFB" w:rsidRDefault="004D1010" w:rsidP="00F2332A">
      <w:pPr>
        <w:jc w:val="both"/>
        <w:rPr>
          <w:rFonts w:ascii="Arial" w:hAnsi="Arial" w:cs="Arial"/>
        </w:rPr>
      </w:pPr>
      <w:r>
        <w:rPr>
          <w:rFonts w:ascii="Arial" w:hAnsi="Arial" w:cs="Arial"/>
          <w:b/>
          <w:i/>
        </w:rPr>
        <w:t>Appropriate Project Structuring</w:t>
      </w:r>
      <w:r w:rsidR="00866E8E" w:rsidRPr="000A0BFB">
        <w:rPr>
          <w:rFonts w:ascii="Arial" w:hAnsi="Arial" w:cs="Arial"/>
          <w:b/>
          <w:i/>
        </w:rPr>
        <w:t>:</w:t>
      </w:r>
      <w:r w:rsidR="0058392B">
        <w:rPr>
          <w:rFonts w:ascii="Arial" w:hAnsi="Arial" w:cs="Arial"/>
          <w:b/>
          <w:i/>
        </w:rPr>
        <w:t xml:space="preserve"> </w:t>
      </w:r>
      <w:r w:rsidRPr="000A0BFB">
        <w:rPr>
          <w:rFonts w:ascii="Arial" w:hAnsi="Arial" w:cs="Arial"/>
        </w:rPr>
        <w:t>The Salta PPP contract is flexible in three ways: 1) it encourages collaboration between stakeholders; 2) It allows for evolving user and local government priorities to be integrated into the PPP framework; 3) it allows the concessionaire to negotiate with the regulator regarding expected service levels to unprofitable areas. In Salta, the regulator has the authority to grant temporary waivers, lowering service delivery standards for the concessionaire, in periods of economic strain. This fairly rare level of flexibility allowed the Salta PPP to overcome the tumultuous 2001-2002 economic crisis.</w:t>
      </w:r>
    </w:p>
    <w:p w:rsidR="00C17A6F" w:rsidRDefault="004D1010" w:rsidP="00F2332A">
      <w:pPr>
        <w:jc w:val="both"/>
        <w:rPr>
          <w:rFonts w:ascii="Arial" w:hAnsi="Arial" w:cs="Arial"/>
        </w:rPr>
      </w:pPr>
      <w:r>
        <w:rPr>
          <w:rFonts w:ascii="Arial" w:hAnsi="Arial" w:cs="Arial"/>
          <w:b/>
          <w:i/>
        </w:rPr>
        <w:t>Stakeholder Parti</w:t>
      </w:r>
      <w:r w:rsidR="00DA2D7F">
        <w:rPr>
          <w:rFonts w:ascii="Arial" w:hAnsi="Arial" w:cs="Arial"/>
          <w:b/>
          <w:i/>
        </w:rPr>
        <w:t>ci</w:t>
      </w:r>
      <w:r>
        <w:rPr>
          <w:rFonts w:ascii="Arial" w:hAnsi="Arial" w:cs="Arial"/>
          <w:b/>
          <w:i/>
        </w:rPr>
        <w:t>pation and Coordination</w:t>
      </w:r>
      <w:r w:rsidR="00C17A6F" w:rsidRPr="000A0BFB">
        <w:rPr>
          <w:rFonts w:ascii="Arial" w:hAnsi="Arial" w:cs="Arial"/>
          <w:b/>
          <w:i/>
        </w:rPr>
        <w:t>:</w:t>
      </w:r>
      <w:r w:rsidR="004139A5" w:rsidRPr="000A0BFB">
        <w:rPr>
          <w:rFonts w:ascii="Arial" w:hAnsi="Arial" w:cs="Arial"/>
        </w:rPr>
        <w:t xml:space="preserve"> The concessionaire, SPASSA, i</w:t>
      </w:r>
      <w:r w:rsidR="00C17A6F" w:rsidRPr="000A0BFB">
        <w:rPr>
          <w:rFonts w:ascii="Arial" w:hAnsi="Arial" w:cs="Arial"/>
        </w:rPr>
        <w:t xml:space="preserve">s a local utility with </w:t>
      </w:r>
      <w:r w:rsidR="004139A5" w:rsidRPr="000A0BFB">
        <w:rPr>
          <w:rFonts w:ascii="Arial" w:hAnsi="Arial" w:cs="Arial"/>
        </w:rPr>
        <w:t xml:space="preserve">limited previous experience in water and sanitation services. The Provincial Government made a deliberate decision to value local knowledge and experience over previous sector experience in the procurement process based on its belief that a local company could be more </w:t>
      </w:r>
      <w:r w:rsidR="004139A5" w:rsidRPr="000A0BFB">
        <w:rPr>
          <w:rFonts w:ascii="Arial" w:hAnsi="Arial" w:cs="Arial"/>
        </w:rPr>
        <w:lastRenderedPageBreak/>
        <w:t xml:space="preserve">responsive to and in tune with the region’s socio-political context. In order to ensure that the local candidates would still have the ability to meet all of the technical needs of the sector, the Government required that all local candidates seek technical assistance from a qualified regional water service provider at the beginning of the partnership. This model was successful as the local concessionaire was able to develop its water and sanitation abilities and leverage its local expertise to meet the terms of the contract and even win additional concessions in Argentina and Peru. </w:t>
      </w:r>
    </w:p>
    <w:p w:rsidR="00742046" w:rsidRDefault="00742046" w:rsidP="00F2332A">
      <w:pPr>
        <w:jc w:val="both"/>
        <w:rPr>
          <w:rFonts w:ascii="Arial" w:hAnsi="Arial" w:cs="Arial"/>
        </w:rPr>
      </w:pPr>
      <w:r>
        <w:rPr>
          <w:rFonts w:ascii="Arial" w:hAnsi="Arial" w:cs="Arial"/>
        </w:rPr>
        <w:t>Further, a</w:t>
      </w:r>
      <w:r w:rsidRPr="00742046">
        <w:rPr>
          <w:rFonts w:ascii="Arial" w:hAnsi="Arial" w:cs="Arial"/>
        </w:rPr>
        <w:t>fter the contract was signed, the concessionaire, SPASSA, and the regulator, ENRESP, agreed on the importance of engaging local governments for the local delivery of sanitation services although this was not a requirement of the contract. SPASSA and ENRESP developed a strategy for cultivating relationships with local government stakeholders, including holding public meetings with municipalities and user associations. The concessionaire also entered into agreements to provide technical assistance, while municipalities and user associations provided low-skilled workers and materials, to extend the service networks. Between June 1999 and July 2002 seventeen of these agreements were signed between the concessionaire and municipal government and three were signed with user associations for areas where municipal governments were less active. This proactive engagement of the local governments not only helped the concessionaire meet its goals of expanding local service, but also believed to have helped quell some of the local populations’ concerns about PPPs. Also, the Provincial Government’s stability and continuous investment in the low-income subsidy and the investment programs were factors in the concession’s success.</w:t>
      </w:r>
    </w:p>
    <w:p w:rsidR="004D1010" w:rsidRPr="000A0BFB" w:rsidRDefault="004D1010" w:rsidP="00F2332A">
      <w:pPr>
        <w:jc w:val="both"/>
        <w:rPr>
          <w:rFonts w:ascii="Arial" w:hAnsi="Arial" w:cs="Arial"/>
        </w:rPr>
      </w:pPr>
      <w:r w:rsidRPr="000A0BFB">
        <w:rPr>
          <w:rFonts w:ascii="Arial" w:hAnsi="Arial" w:cs="Arial"/>
        </w:rPr>
        <w:t xml:space="preserve">This PPP </w:t>
      </w:r>
      <w:r w:rsidR="00742046">
        <w:rPr>
          <w:rFonts w:ascii="Arial" w:hAnsi="Arial" w:cs="Arial"/>
        </w:rPr>
        <w:t xml:space="preserve">also </w:t>
      </w:r>
      <w:r w:rsidRPr="000A0BFB">
        <w:rPr>
          <w:rFonts w:ascii="Arial" w:hAnsi="Arial" w:cs="Arial"/>
        </w:rPr>
        <w:t>benefitted from Salta’s well-established provincial-municipal governmental coordination mechanisms, including a Joint Working Commission for trouble-shooting between contract parties.</w:t>
      </w:r>
      <w:r w:rsidRPr="000A0BFB">
        <w:rPr>
          <w:rStyle w:val="FootnoteReference"/>
          <w:rFonts w:ascii="Arial" w:hAnsi="Arial" w:cs="Arial"/>
        </w:rPr>
        <w:footnoteReference w:id="40"/>
      </w:r>
    </w:p>
    <w:p w:rsidR="007F0691" w:rsidRPr="000A0BFB" w:rsidRDefault="007F0691" w:rsidP="00F2332A">
      <w:pPr>
        <w:jc w:val="both"/>
        <w:rPr>
          <w:rFonts w:ascii="Arial" w:hAnsi="Arial" w:cs="Arial"/>
        </w:rPr>
      </w:pPr>
    </w:p>
    <w:p w:rsidR="002A26EB" w:rsidRPr="000A0BFB" w:rsidRDefault="002A26EB" w:rsidP="00F2332A">
      <w:pPr>
        <w:pStyle w:val="Heading2"/>
        <w:jc w:val="both"/>
        <w:rPr>
          <w:rFonts w:ascii="Arial" w:hAnsi="Arial" w:cs="Arial"/>
          <w:color w:val="92D050"/>
          <w:sz w:val="22"/>
        </w:rPr>
      </w:pPr>
      <w:bookmarkStart w:id="15" w:name="_Toc404073798"/>
      <w:r w:rsidRPr="000A0BFB">
        <w:rPr>
          <w:rFonts w:ascii="Arial" w:hAnsi="Arial" w:cs="Arial"/>
          <w:color w:val="92D050"/>
          <w:sz w:val="22"/>
        </w:rPr>
        <w:t>Brazil: São Paulo Water Recovery Project (REAGUA) from 2008–2015</w:t>
      </w:r>
      <w:bookmarkEnd w:id="15"/>
    </w:p>
    <w:p w:rsidR="0048559D" w:rsidRPr="0048559D" w:rsidRDefault="0048559D" w:rsidP="00F2332A">
      <w:pPr>
        <w:spacing w:before="100" w:beforeAutospacing="1" w:after="100" w:afterAutospacing="1" w:line="240" w:lineRule="auto"/>
        <w:jc w:val="both"/>
        <w:rPr>
          <w:rFonts w:ascii="Arial" w:eastAsia="Times New Roman" w:hAnsi="Arial" w:cs="Arial"/>
          <w:b/>
        </w:rPr>
      </w:pPr>
      <w:r w:rsidRPr="0048559D">
        <w:rPr>
          <w:rFonts w:ascii="Arial" w:eastAsia="Times New Roman" w:hAnsi="Arial" w:cs="Arial"/>
          <w:b/>
        </w:rPr>
        <w:t xml:space="preserve">Project Overview </w:t>
      </w:r>
    </w:p>
    <w:p w:rsidR="00621D37" w:rsidRPr="000A0BFB" w:rsidRDefault="00FD5AB9" w:rsidP="00F2332A">
      <w:pPr>
        <w:spacing w:before="100" w:beforeAutospacing="1" w:after="100" w:afterAutospacing="1" w:line="240" w:lineRule="auto"/>
        <w:jc w:val="both"/>
        <w:rPr>
          <w:rFonts w:ascii="Arial" w:eastAsia="Times New Roman" w:hAnsi="Arial" w:cs="Arial"/>
        </w:rPr>
      </w:pPr>
      <w:r w:rsidRPr="000A0BFB">
        <w:rPr>
          <w:rFonts w:ascii="Arial" w:eastAsia="Times New Roman" w:hAnsi="Arial" w:cs="Arial"/>
        </w:rPr>
        <w:t xml:space="preserve">São Paulo </w:t>
      </w:r>
      <w:r w:rsidR="00621D37" w:rsidRPr="000A0BFB">
        <w:rPr>
          <w:rFonts w:ascii="Arial" w:eastAsia="Times New Roman" w:hAnsi="Arial" w:cs="Arial"/>
        </w:rPr>
        <w:t xml:space="preserve">is the most </w:t>
      </w:r>
      <w:r w:rsidR="00D1371B" w:rsidRPr="000A0BFB">
        <w:rPr>
          <w:rFonts w:ascii="Arial" w:eastAsia="Times New Roman" w:hAnsi="Arial" w:cs="Arial"/>
        </w:rPr>
        <w:t xml:space="preserve">populous </w:t>
      </w:r>
      <w:r w:rsidRPr="000A0BFB">
        <w:rPr>
          <w:rFonts w:ascii="Arial" w:eastAsia="Times New Roman" w:hAnsi="Arial" w:cs="Arial"/>
        </w:rPr>
        <w:t>of Brazil’s states; in 2008 its population had reached 41 million people, with 38.8 million living in urban areas</w:t>
      </w:r>
      <w:r w:rsidR="007F0691">
        <w:rPr>
          <w:rFonts w:ascii="Arial" w:eastAsia="Times New Roman" w:hAnsi="Arial" w:cs="Arial"/>
        </w:rPr>
        <w:t>.</w:t>
      </w:r>
      <w:r w:rsidR="0058392B">
        <w:rPr>
          <w:rFonts w:ascii="Arial" w:eastAsia="Times New Roman" w:hAnsi="Arial" w:cs="Arial"/>
        </w:rPr>
        <w:t xml:space="preserve"> </w:t>
      </w:r>
      <w:r w:rsidR="00621D37" w:rsidRPr="000A0BFB">
        <w:rPr>
          <w:rFonts w:ascii="Arial" w:eastAsia="Times New Roman" w:hAnsi="Arial" w:cs="Arial"/>
        </w:rPr>
        <w:t xml:space="preserve">This population </w:t>
      </w:r>
      <w:r w:rsidR="001A5105">
        <w:rPr>
          <w:rFonts w:ascii="Arial" w:eastAsia="Times New Roman" w:hAnsi="Arial" w:cs="Arial"/>
        </w:rPr>
        <w:t xml:space="preserve">growth </w:t>
      </w:r>
      <w:r w:rsidR="00621D37" w:rsidRPr="000A0BFB">
        <w:rPr>
          <w:rFonts w:ascii="Arial" w:eastAsia="Times New Roman" w:hAnsi="Arial" w:cs="Arial"/>
        </w:rPr>
        <w:t xml:space="preserve">exacerbated the State’s already limited water and sanitation service delivery. Within the State’s urban population, 4.8 million people were not connected to a public sewerage system, 2.5 million people lacked adequate sanitation, and 15.7 million people had wastewater collection but no treatment in 2008. The limited reach of the sanitation, sewerage and wastewater treatment systems added to the State’s existing pollution and water scarcity challenges. These challenges </w:t>
      </w:r>
      <w:r w:rsidR="007F0691">
        <w:rPr>
          <w:rFonts w:ascii="Arial" w:eastAsia="Times New Roman" w:hAnsi="Arial" w:cs="Arial"/>
        </w:rPr>
        <w:t>were and continue to be</w:t>
      </w:r>
      <w:r w:rsidR="0058392B">
        <w:rPr>
          <w:rFonts w:ascii="Arial" w:eastAsia="Times New Roman" w:hAnsi="Arial" w:cs="Arial"/>
        </w:rPr>
        <w:t xml:space="preserve"> </w:t>
      </w:r>
      <w:r w:rsidR="00621D37" w:rsidRPr="000A0BFB">
        <w:rPr>
          <w:rFonts w:ascii="Arial" w:eastAsia="Times New Roman" w:hAnsi="Arial" w:cs="Arial"/>
        </w:rPr>
        <w:t>especially acute in low-income neighborhoods close to major water reservoirs and rivers.</w:t>
      </w:r>
      <w:r w:rsidR="00621D37" w:rsidRPr="000A0BFB">
        <w:rPr>
          <w:rStyle w:val="FootnoteReference"/>
          <w:rFonts w:ascii="Arial" w:eastAsia="Times New Roman" w:hAnsi="Arial" w:cs="Arial"/>
        </w:rPr>
        <w:footnoteReference w:id="41"/>
      </w:r>
    </w:p>
    <w:p w:rsidR="00714FEF" w:rsidRPr="000A0BFB" w:rsidRDefault="00FA06FB" w:rsidP="00F2332A">
      <w:pPr>
        <w:spacing w:before="100" w:beforeAutospacing="1" w:after="100" w:afterAutospacing="1" w:line="240" w:lineRule="auto"/>
        <w:jc w:val="both"/>
        <w:rPr>
          <w:rFonts w:ascii="Arial" w:eastAsia="Times New Roman" w:hAnsi="Arial" w:cs="Arial"/>
        </w:rPr>
      </w:pPr>
      <w:r w:rsidRPr="000A0BFB">
        <w:rPr>
          <w:rFonts w:ascii="Arial" w:eastAsia="Times New Roman" w:hAnsi="Arial" w:cs="Arial"/>
        </w:rPr>
        <w:t xml:space="preserve">The World Bank’s Sao Paulo Water Recovery Project (REAGUA) was developed to improve the quality and availability of water in the state’s crucial watersheds by installing or expanding sewage treatment systems and cleaning up polluted waterways. The project was launched in 2008 </w:t>
      </w:r>
      <w:r w:rsidR="00AE4B75" w:rsidRPr="000A0BFB">
        <w:rPr>
          <w:rFonts w:ascii="Arial" w:eastAsia="Times New Roman" w:hAnsi="Arial" w:cs="Arial"/>
        </w:rPr>
        <w:t>with a bank loan of</w:t>
      </w:r>
      <w:r w:rsidR="004D06AC" w:rsidRPr="000A0BFB">
        <w:rPr>
          <w:rFonts w:ascii="Arial" w:eastAsia="Times New Roman" w:hAnsi="Arial" w:cs="Arial"/>
        </w:rPr>
        <w:t xml:space="preserve"> $64.3 milli</w:t>
      </w:r>
      <w:r w:rsidR="004B5C3A" w:rsidRPr="000A0BFB">
        <w:rPr>
          <w:rFonts w:ascii="Arial" w:eastAsia="Times New Roman" w:hAnsi="Arial" w:cs="Arial"/>
        </w:rPr>
        <w:t xml:space="preserve">on </w:t>
      </w:r>
      <w:r w:rsidR="004D06AC" w:rsidRPr="000A0BFB">
        <w:rPr>
          <w:rFonts w:ascii="Arial" w:eastAsia="Times New Roman" w:hAnsi="Arial" w:cs="Arial"/>
        </w:rPr>
        <w:t xml:space="preserve">and counterpart funding of </w:t>
      </w:r>
      <w:r w:rsidRPr="000A0BFB">
        <w:rPr>
          <w:rFonts w:ascii="Arial" w:eastAsia="Times New Roman" w:hAnsi="Arial" w:cs="Arial"/>
        </w:rPr>
        <w:t>$</w:t>
      </w:r>
      <w:r w:rsidR="004D06AC" w:rsidRPr="000A0BFB">
        <w:rPr>
          <w:rFonts w:ascii="Arial" w:eastAsia="Times New Roman" w:hAnsi="Arial" w:cs="Arial"/>
        </w:rPr>
        <w:t>43 million</w:t>
      </w:r>
      <w:r w:rsidRPr="000A0BFB">
        <w:rPr>
          <w:rFonts w:ascii="Arial" w:eastAsia="Times New Roman" w:hAnsi="Arial" w:cs="Arial"/>
        </w:rPr>
        <w:t xml:space="preserve"> to cover the estimated total project cost of $107.5 million</w:t>
      </w:r>
      <w:r w:rsidR="00F001C2" w:rsidRPr="000A0BFB">
        <w:rPr>
          <w:rFonts w:ascii="Arial" w:eastAsia="Times New Roman" w:hAnsi="Arial" w:cs="Arial"/>
        </w:rPr>
        <w:t xml:space="preserve"> until the close date in November 2015</w:t>
      </w:r>
      <w:r w:rsidRPr="000A0BFB">
        <w:rPr>
          <w:rFonts w:ascii="Arial" w:eastAsia="Times New Roman" w:hAnsi="Arial" w:cs="Arial"/>
        </w:rPr>
        <w:t>.</w:t>
      </w:r>
      <w:r w:rsidRPr="000A0BFB">
        <w:rPr>
          <w:rStyle w:val="FootnoteReference"/>
          <w:rFonts w:ascii="Arial" w:eastAsia="Times New Roman" w:hAnsi="Arial" w:cs="Arial"/>
        </w:rPr>
        <w:footnoteReference w:id="42"/>
      </w:r>
      <w:r w:rsidR="00F001C2" w:rsidRPr="000A0BFB">
        <w:rPr>
          <w:rFonts w:ascii="Arial" w:eastAsia="Times New Roman" w:hAnsi="Arial" w:cs="Arial"/>
        </w:rPr>
        <w:t>The project aims to support 24 public water utilities. To date, 20 utilities are benefiting and a</w:t>
      </w:r>
      <w:r w:rsidR="00FD5AB9" w:rsidRPr="000A0BFB">
        <w:rPr>
          <w:rFonts w:ascii="Arial" w:eastAsia="Times New Roman" w:hAnsi="Arial" w:cs="Arial"/>
        </w:rPr>
        <w:t>pproximately $5 million had been disbursed by February 2014.</w:t>
      </w:r>
      <w:r w:rsidR="00FD5AB9" w:rsidRPr="000A0BFB">
        <w:rPr>
          <w:rStyle w:val="FootnoteReference"/>
          <w:rFonts w:ascii="Arial" w:eastAsia="Times New Roman" w:hAnsi="Arial" w:cs="Arial"/>
        </w:rPr>
        <w:footnoteReference w:id="43"/>
      </w:r>
    </w:p>
    <w:p w:rsidR="00EB59E5" w:rsidRPr="000A0BFB" w:rsidRDefault="00EB59E5" w:rsidP="00F2332A">
      <w:pPr>
        <w:spacing w:before="100" w:beforeAutospacing="1" w:after="100" w:afterAutospacing="1" w:line="240" w:lineRule="auto"/>
        <w:jc w:val="both"/>
        <w:rPr>
          <w:rFonts w:ascii="Arial" w:eastAsia="Times New Roman" w:hAnsi="Arial" w:cs="Arial"/>
        </w:rPr>
      </w:pPr>
      <w:r w:rsidRPr="000A0BFB">
        <w:rPr>
          <w:rFonts w:ascii="Arial" w:eastAsia="Times New Roman" w:hAnsi="Arial" w:cs="Arial"/>
        </w:rPr>
        <w:t xml:space="preserve">The project is composed of three major </w:t>
      </w:r>
      <w:r w:rsidR="009048D9" w:rsidRPr="000A0BFB">
        <w:rPr>
          <w:rFonts w:ascii="Arial" w:eastAsia="Times New Roman" w:hAnsi="Arial" w:cs="Arial"/>
        </w:rPr>
        <w:t>tracks of activity</w:t>
      </w:r>
      <w:r w:rsidRPr="000A0BFB">
        <w:rPr>
          <w:rFonts w:ascii="Arial" w:eastAsia="Times New Roman" w:hAnsi="Arial" w:cs="Arial"/>
        </w:rPr>
        <w:t>:</w:t>
      </w:r>
    </w:p>
    <w:p w:rsidR="00EB59E5" w:rsidRPr="000A0BFB" w:rsidRDefault="00EB59E5" w:rsidP="00F2332A">
      <w:pPr>
        <w:pStyle w:val="ListParagraph"/>
        <w:numPr>
          <w:ilvl w:val="0"/>
          <w:numId w:val="14"/>
        </w:numPr>
        <w:spacing w:before="100" w:beforeAutospacing="1" w:after="100" w:afterAutospacing="1" w:line="240" w:lineRule="auto"/>
        <w:jc w:val="both"/>
        <w:rPr>
          <w:rFonts w:ascii="Arial" w:eastAsia="Times New Roman" w:hAnsi="Arial" w:cs="Arial"/>
        </w:rPr>
      </w:pPr>
      <w:r w:rsidRPr="000A0BFB">
        <w:rPr>
          <w:rFonts w:ascii="Arial" w:eastAsia="Times New Roman" w:hAnsi="Arial" w:cs="Arial"/>
        </w:rPr>
        <w:t>Increasing water availability – Includes the controlling and reducing water losses and launching a water use awareness campaign in 170 public schools.</w:t>
      </w:r>
    </w:p>
    <w:p w:rsidR="00EB59E5" w:rsidRPr="000A0BFB" w:rsidRDefault="00EB59E5" w:rsidP="00F2332A">
      <w:pPr>
        <w:pStyle w:val="ListParagraph"/>
        <w:numPr>
          <w:ilvl w:val="0"/>
          <w:numId w:val="14"/>
        </w:numPr>
        <w:spacing w:before="100" w:beforeAutospacing="1" w:after="100" w:afterAutospacing="1" w:line="240" w:lineRule="auto"/>
        <w:jc w:val="both"/>
        <w:rPr>
          <w:rFonts w:ascii="Arial" w:eastAsia="Times New Roman" w:hAnsi="Arial" w:cs="Arial"/>
        </w:rPr>
      </w:pPr>
      <w:r w:rsidRPr="000A0BFB">
        <w:rPr>
          <w:rFonts w:ascii="Arial" w:eastAsia="Times New Roman" w:hAnsi="Arial" w:cs="Arial"/>
        </w:rPr>
        <w:t>Enhancing water quality – Includes the installation of 4,700 new sewerage connections, laying 118km of pipeline and building 17 wastewater treatment plants. Low-income households will make up the majority of those connected to the new wastewater systems since most well-off families are already connected to existing systems and the project’s selection criteria will target poor municipalities</w:t>
      </w:r>
      <w:r w:rsidRPr="000A0BFB">
        <w:rPr>
          <w:rStyle w:val="FootnoteReference"/>
          <w:rFonts w:ascii="Arial" w:eastAsia="Times New Roman" w:hAnsi="Arial" w:cs="Arial"/>
        </w:rPr>
        <w:footnoteReference w:id="44"/>
      </w:r>
    </w:p>
    <w:p w:rsidR="00EB59E5" w:rsidRPr="000A0BFB" w:rsidRDefault="00EB59E5" w:rsidP="00F2332A">
      <w:pPr>
        <w:pStyle w:val="ListParagraph"/>
        <w:numPr>
          <w:ilvl w:val="0"/>
          <w:numId w:val="14"/>
        </w:numPr>
        <w:spacing w:before="100" w:beforeAutospacing="1" w:after="100" w:afterAutospacing="1" w:line="240" w:lineRule="auto"/>
        <w:jc w:val="both"/>
        <w:rPr>
          <w:rFonts w:ascii="Arial" w:eastAsia="Times New Roman" w:hAnsi="Arial" w:cs="Arial"/>
        </w:rPr>
      </w:pPr>
      <w:r w:rsidRPr="000A0BFB">
        <w:rPr>
          <w:rFonts w:ascii="Arial" w:eastAsia="Times New Roman" w:hAnsi="Arial" w:cs="Arial"/>
        </w:rPr>
        <w:t>Institutional and technical capacity development – Includes technical assistance to strengthen the sector’s institutional, legal and regulatory framework.</w:t>
      </w:r>
    </w:p>
    <w:p w:rsidR="0096178B" w:rsidRPr="000A0BFB" w:rsidRDefault="0096178B" w:rsidP="00F2332A">
      <w:pPr>
        <w:spacing w:before="100" w:beforeAutospacing="1" w:after="100" w:afterAutospacing="1" w:line="240" w:lineRule="auto"/>
        <w:jc w:val="both"/>
        <w:rPr>
          <w:rFonts w:ascii="Arial" w:hAnsi="Arial" w:cs="Arial"/>
        </w:rPr>
      </w:pPr>
      <w:r w:rsidRPr="000A0BFB">
        <w:rPr>
          <w:rFonts w:ascii="Arial" w:hAnsi="Arial" w:cs="Arial"/>
        </w:rPr>
        <w:t>The project is financed using Output-based Disbursement (OBD) in the form of public subsidies to service private providers, part of which are funded by a loan from the World Bank/ International Bank for Reconstruction and Development ( IBRD). The funds are only disbursed upon verification of outputs, such as the completed wastewater treatment plant, linked directly to outcomes, like cubic meters of treated wastewater. Specifically, p</w:t>
      </w:r>
      <w:r w:rsidRPr="000A0BFB">
        <w:rPr>
          <w:rFonts w:ascii="Arial" w:eastAsia="Times New Roman" w:hAnsi="Arial" w:cs="Arial"/>
        </w:rPr>
        <w:t xml:space="preserve">ayments are triggered by the following types of outputs: </w:t>
      </w:r>
      <w:r w:rsidR="00EB59E5" w:rsidRPr="000A0BFB">
        <w:rPr>
          <w:rFonts w:ascii="Arial" w:eastAsia="Times New Roman" w:hAnsi="Arial" w:cs="Arial"/>
        </w:rPr>
        <w:t>reuse of treated wastewater, expansion of w</w:t>
      </w:r>
      <w:r w:rsidRPr="000A0BFB">
        <w:rPr>
          <w:rFonts w:ascii="Arial" w:hAnsi="Arial" w:cs="Arial"/>
        </w:rPr>
        <w:t xml:space="preserve">astewater </w:t>
      </w:r>
      <w:r w:rsidR="00EB59E5" w:rsidRPr="000A0BFB">
        <w:rPr>
          <w:rFonts w:ascii="Arial" w:hAnsi="Arial" w:cs="Arial"/>
        </w:rPr>
        <w:t>collection network, development of the w</w:t>
      </w:r>
      <w:r w:rsidRPr="000A0BFB">
        <w:rPr>
          <w:rFonts w:ascii="Arial" w:hAnsi="Arial" w:cs="Arial"/>
        </w:rPr>
        <w:t>astewate</w:t>
      </w:r>
      <w:r w:rsidR="00EB59E5" w:rsidRPr="000A0BFB">
        <w:rPr>
          <w:rFonts w:ascii="Arial" w:hAnsi="Arial" w:cs="Arial"/>
        </w:rPr>
        <w:t>r transport system, and construction or renovation of wastewater treatment p</w:t>
      </w:r>
      <w:r w:rsidRPr="000A0BFB">
        <w:rPr>
          <w:rFonts w:ascii="Arial" w:hAnsi="Arial" w:cs="Arial"/>
        </w:rPr>
        <w:t>lant</w:t>
      </w:r>
      <w:r w:rsidR="00EB59E5" w:rsidRPr="000A0BFB">
        <w:rPr>
          <w:rFonts w:ascii="Arial" w:hAnsi="Arial" w:cs="Arial"/>
        </w:rPr>
        <w:t>s</w:t>
      </w:r>
      <w:r w:rsidR="00AE4B75" w:rsidRPr="000A0BFB">
        <w:rPr>
          <w:rFonts w:ascii="Arial" w:hAnsi="Arial" w:cs="Arial"/>
        </w:rPr>
        <w:t>.</w:t>
      </w:r>
      <w:r w:rsidR="0058392B">
        <w:rPr>
          <w:rFonts w:ascii="Arial" w:hAnsi="Arial" w:cs="Arial"/>
        </w:rPr>
        <w:t xml:space="preserve"> </w:t>
      </w:r>
      <w:r w:rsidR="007908FF" w:rsidRPr="000A0BFB">
        <w:rPr>
          <w:rFonts w:ascii="Arial" w:hAnsi="Arial" w:cs="Arial"/>
        </w:rPr>
        <w:t xml:space="preserve">This mechanism gives incentives for service providers to develop more cost-effective solutions for serving the poor. </w:t>
      </w:r>
      <w:r w:rsidR="00747693" w:rsidRPr="000A0BFB">
        <w:rPr>
          <w:rFonts w:ascii="Arial" w:hAnsi="Arial" w:cs="Arial"/>
        </w:rPr>
        <w:t xml:space="preserve">The Global Partnership on Output-Based Aid (GPOBA) also supported the project through technical assistance and expertise. </w:t>
      </w:r>
    </w:p>
    <w:p w:rsidR="00FD5AB9" w:rsidRPr="000A0BFB" w:rsidRDefault="00621D37" w:rsidP="00F2332A">
      <w:pPr>
        <w:spacing w:before="100" w:beforeAutospacing="1" w:after="100" w:afterAutospacing="1" w:line="240" w:lineRule="auto"/>
        <w:jc w:val="both"/>
        <w:rPr>
          <w:rFonts w:ascii="Arial" w:eastAsia="Times New Roman" w:hAnsi="Arial" w:cs="Arial"/>
          <w:b/>
        </w:rPr>
      </w:pPr>
      <w:r w:rsidRPr="000A0BFB">
        <w:rPr>
          <w:rFonts w:ascii="Arial" w:eastAsia="Times New Roman" w:hAnsi="Arial" w:cs="Arial"/>
          <w:b/>
        </w:rPr>
        <w:t>Noteworthy Outcomes</w:t>
      </w:r>
    </w:p>
    <w:p w:rsidR="003635F8" w:rsidRPr="000A0BFB" w:rsidRDefault="00DA5C11" w:rsidP="00F2332A">
      <w:pPr>
        <w:spacing w:before="100" w:beforeAutospacing="1" w:after="100" w:afterAutospacing="1" w:line="240" w:lineRule="auto"/>
        <w:jc w:val="both"/>
        <w:rPr>
          <w:rFonts w:ascii="Arial" w:eastAsia="Times New Roman" w:hAnsi="Arial" w:cs="Arial"/>
        </w:rPr>
      </w:pPr>
      <w:r w:rsidRPr="000A0BFB">
        <w:rPr>
          <w:rFonts w:ascii="Arial" w:eastAsia="Times New Roman" w:hAnsi="Arial" w:cs="Arial"/>
        </w:rPr>
        <w:t>S</w:t>
      </w:r>
      <w:r w:rsidR="003635F8" w:rsidRPr="000A0BFB">
        <w:rPr>
          <w:rFonts w:ascii="Arial" w:eastAsia="Times New Roman" w:hAnsi="Arial" w:cs="Arial"/>
        </w:rPr>
        <w:t xml:space="preserve">pecific wastewater targets, as well as </w:t>
      </w:r>
      <w:r w:rsidRPr="000A0BFB">
        <w:rPr>
          <w:rFonts w:ascii="Arial" w:eastAsia="Times New Roman" w:hAnsi="Arial" w:cs="Arial"/>
        </w:rPr>
        <w:t xml:space="preserve">the </w:t>
      </w:r>
      <w:r w:rsidR="003635F8" w:rsidRPr="000A0BFB">
        <w:rPr>
          <w:rFonts w:ascii="Arial" w:eastAsia="Times New Roman" w:hAnsi="Arial" w:cs="Arial"/>
        </w:rPr>
        <w:t>current status</w:t>
      </w:r>
      <w:r w:rsidRPr="000A0BFB">
        <w:rPr>
          <w:rFonts w:ascii="Arial" w:eastAsia="Times New Roman" w:hAnsi="Arial" w:cs="Arial"/>
        </w:rPr>
        <w:t xml:space="preserve"> for each</w:t>
      </w:r>
      <w:r w:rsidR="003635F8" w:rsidRPr="000A0BFB">
        <w:rPr>
          <w:rFonts w:ascii="Arial" w:eastAsia="Times New Roman" w:hAnsi="Arial" w:cs="Arial"/>
        </w:rPr>
        <w:t>, are listed in the table below:</w:t>
      </w:r>
      <w:r w:rsidR="00FD5AB9" w:rsidRPr="000A0BFB">
        <w:rPr>
          <w:rStyle w:val="FootnoteReference"/>
          <w:rFonts w:ascii="Arial" w:eastAsia="Times New Roman" w:hAnsi="Arial" w:cs="Arial"/>
        </w:rPr>
        <w:footnoteReference w:id="45"/>
      </w:r>
    </w:p>
    <w:p w:rsidR="00F2332A" w:rsidRPr="000A0BFB" w:rsidRDefault="00F2332A" w:rsidP="00F2332A">
      <w:pPr>
        <w:spacing w:before="100" w:beforeAutospacing="1" w:after="100" w:afterAutospacing="1" w:line="240" w:lineRule="auto"/>
        <w:jc w:val="both"/>
        <w:rPr>
          <w:rFonts w:ascii="Arial" w:hAnsi="Arial" w:cs="Arial"/>
          <w:b/>
        </w:rPr>
      </w:pPr>
      <w:r w:rsidRPr="000A0BFB">
        <w:rPr>
          <w:rFonts w:ascii="Arial" w:hAnsi="Arial" w:cs="Arial"/>
          <w:b/>
        </w:rPr>
        <w:t>Table 2: REAGUA Targets and Current Status</w:t>
      </w:r>
    </w:p>
    <w:tbl>
      <w:tblPr>
        <w:tblStyle w:val="LightList-Accent5"/>
        <w:tblW w:w="0" w:type="auto"/>
        <w:tblLook w:val="04A0" w:firstRow="1" w:lastRow="0" w:firstColumn="1" w:lastColumn="0" w:noHBand="0" w:noVBand="1"/>
      </w:tblPr>
      <w:tblGrid>
        <w:gridCol w:w="2709"/>
        <w:gridCol w:w="1121"/>
        <w:gridCol w:w="1498"/>
        <w:gridCol w:w="2332"/>
        <w:gridCol w:w="1916"/>
      </w:tblGrid>
      <w:tr w:rsidR="003635F8" w:rsidRPr="000A0BFB" w:rsidTr="00AE4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shd w:val="clear" w:color="auto" w:fill="002060"/>
          </w:tcPr>
          <w:p w:rsidR="003635F8" w:rsidRPr="000A0BFB" w:rsidRDefault="003635F8" w:rsidP="003635F8">
            <w:pPr>
              <w:spacing w:before="100" w:beforeAutospacing="1" w:after="100" w:afterAutospacing="1"/>
              <w:rPr>
                <w:rFonts w:ascii="Arial" w:eastAsia="Times New Roman" w:hAnsi="Arial" w:cs="Arial"/>
              </w:rPr>
            </w:pPr>
            <w:r w:rsidRPr="000A0BFB">
              <w:rPr>
                <w:rFonts w:ascii="Arial" w:eastAsia="Times New Roman" w:hAnsi="Arial" w:cs="Arial"/>
              </w:rPr>
              <w:t>Target</w:t>
            </w:r>
          </w:p>
        </w:tc>
        <w:tc>
          <w:tcPr>
            <w:tcW w:w="1121" w:type="dxa"/>
            <w:shd w:val="clear" w:color="auto" w:fill="002060"/>
          </w:tcPr>
          <w:p w:rsidR="003635F8" w:rsidRPr="000A0BFB" w:rsidRDefault="003635F8" w:rsidP="00C04A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0BFB">
              <w:rPr>
                <w:rFonts w:ascii="Arial" w:eastAsia="Times New Roman" w:hAnsi="Arial" w:cs="Arial"/>
              </w:rPr>
              <w:t>Baseline</w:t>
            </w:r>
          </w:p>
        </w:tc>
        <w:tc>
          <w:tcPr>
            <w:tcW w:w="1498" w:type="dxa"/>
            <w:shd w:val="clear" w:color="auto" w:fill="002060"/>
          </w:tcPr>
          <w:p w:rsidR="003635F8" w:rsidRPr="000A0BFB" w:rsidRDefault="003635F8" w:rsidP="00C04A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0BFB">
              <w:rPr>
                <w:rFonts w:ascii="Arial" w:eastAsia="Times New Roman" w:hAnsi="Arial" w:cs="Arial"/>
              </w:rPr>
              <w:t xml:space="preserve">Current </w:t>
            </w:r>
            <w:r w:rsidR="00DA5C11" w:rsidRPr="000A0BFB">
              <w:rPr>
                <w:rFonts w:ascii="Arial" w:eastAsia="Times New Roman" w:hAnsi="Arial" w:cs="Arial"/>
              </w:rPr>
              <w:t>Status</w:t>
            </w:r>
          </w:p>
        </w:tc>
        <w:tc>
          <w:tcPr>
            <w:tcW w:w="2332" w:type="dxa"/>
            <w:shd w:val="clear" w:color="auto" w:fill="002060"/>
          </w:tcPr>
          <w:p w:rsidR="003635F8" w:rsidRPr="000A0BFB" w:rsidRDefault="003635F8" w:rsidP="00C04A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0BFB">
              <w:rPr>
                <w:rFonts w:ascii="Arial" w:eastAsia="Times New Roman" w:hAnsi="Arial" w:cs="Arial"/>
              </w:rPr>
              <w:t>Target (11/2015)</w:t>
            </w:r>
          </w:p>
        </w:tc>
        <w:tc>
          <w:tcPr>
            <w:tcW w:w="1916" w:type="dxa"/>
            <w:shd w:val="clear" w:color="auto" w:fill="002060"/>
          </w:tcPr>
          <w:p w:rsidR="003635F8" w:rsidRPr="000A0BFB" w:rsidRDefault="003635F8" w:rsidP="00C04A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0BFB">
              <w:rPr>
                <w:rFonts w:ascii="Arial" w:eastAsia="Times New Roman" w:hAnsi="Arial" w:cs="Arial"/>
              </w:rPr>
              <w:t>Percentage Achieved</w:t>
            </w:r>
          </w:p>
        </w:tc>
      </w:tr>
      <w:tr w:rsidR="003635F8" w:rsidRPr="000A0BFB" w:rsidTr="00AE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vAlign w:val="center"/>
          </w:tcPr>
          <w:p w:rsidR="003635F8" w:rsidRPr="000A0BFB" w:rsidRDefault="003635F8" w:rsidP="00AE4B75">
            <w:pPr>
              <w:spacing w:before="100" w:beforeAutospacing="1" w:after="100" w:afterAutospacing="1"/>
              <w:rPr>
                <w:rFonts w:ascii="Arial" w:eastAsia="Times New Roman" w:hAnsi="Arial" w:cs="Arial"/>
                <w:b w:val="0"/>
                <w:sz w:val="20"/>
              </w:rPr>
            </w:pPr>
            <w:r w:rsidRPr="000A0BFB">
              <w:rPr>
                <w:rFonts w:ascii="Arial" w:eastAsia="Times New Roman" w:hAnsi="Arial" w:cs="Arial"/>
                <w:b w:val="0"/>
                <w:sz w:val="20"/>
              </w:rPr>
              <w:t>Cubic meters of recovered water</w:t>
            </w:r>
          </w:p>
        </w:tc>
        <w:tc>
          <w:tcPr>
            <w:tcW w:w="1121" w:type="dxa"/>
            <w:vAlign w:val="center"/>
          </w:tcPr>
          <w:p w:rsidR="003635F8" w:rsidRPr="000A0BFB" w:rsidRDefault="003635F8" w:rsidP="00C04A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0 m</w:t>
            </w:r>
            <w:r w:rsidR="00E72A88" w:rsidRPr="000A0BFB">
              <w:rPr>
                <w:rFonts w:ascii="Arial" w:hAnsi="Arial" w:cs="Arial"/>
                <w:vertAlign w:val="superscript"/>
              </w:rPr>
              <w:t>3</w:t>
            </w:r>
          </w:p>
        </w:tc>
        <w:tc>
          <w:tcPr>
            <w:tcW w:w="1498" w:type="dxa"/>
            <w:vAlign w:val="center"/>
          </w:tcPr>
          <w:p w:rsidR="003635F8" w:rsidRPr="000A0BFB" w:rsidRDefault="003635F8" w:rsidP="00C04A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2,407,425 m</w:t>
            </w:r>
            <w:r w:rsidR="00E72A88" w:rsidRPr="000A0BFB">
              <w:rPr>
                <w:rFonts w:ascii="Arial" w:hAnsi="Arial" w:cs="Arial"/>
                <w:vertAlign w:val="superscript"/>
              </w:rPr>
              <w:t>3</w:t>
            </w:r>
            <w:r w:rsidR="00DA5C11" w:rsidRPr="000A0BFB">
              <w:rPr>
                <w:rFonts w:ascii="Arial" w:eastAsia="Times New Roman" w:hAnsi="Arial" w:cs="Arial"/>
                <w:sz w:val="20"/>
              </w:rPr>
              <w:t xml:space="preserve"> (12/2013)</w:t>
            </w:r>
          </w:p>
        </w:tc>
        <w:tc>
          <w:tcPr>
            <w:tcW w:w="2332" w:type="dxa"/>
            <w:vAlign w:val="center"/>
          </w:tcPr>
          <w:p w:rsidR="003635F8" w:rsidRPr="000A0BFB" w:rsidRDefault="003635F8" w:rsidP="00C8057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30,106,311 m</w:t>
            </w:r>
            <w:r w:rsidR="00E72A88" w:rsidRPr="000A0BFB">
              <w:rPr>
                <w:rFonts w:ascii="Arial" w:hAnsi="Arial" w:cs="Arial"/>
                <w:vertAlign w:val="superscript"/>
              </w:rPr>
              <w:t>3</w:t>
            </w:r>
            <w:r w:rsidR="00DA5C11" w:rsidRPr="000A0BFB">
              <w:rPr>
                <w:rFonts w:ascii="Arial" w:eastAsia="Times New Roman" w:hAnsi="Arial" w:cs="Arial"/>
                <w:sz w:val="20"/>
              </w:rPr>
              <w:t xml:space="preserve"> – </w:t>
            </w:r>
            <w:r w:rsidR="00DA5C11" w:rsidRPr="000A0BFB">
              <w:rPr>
                <w:rFonts w:ascii="Arial" w:eastAsia="Times New Roman" w:hAnsi="Arial" w:cs="Arial"/>
                <w:i/>
                <w:sz w:val="20"/>
              </w:rPr>
              <w:t xml:space="preserve">Note: Plans to increase target to 32,211,830 </w:t>
            </w:r>
            <w:r w:rsidR="00C80578" w:rsidRPr="000A0BFB">
              <w:rPr>
                <w:rFonts w:ascii="Arial" w:eastAsia="Times New Roman" w:hAnsi="Arial" w:cs="Arial"/>
                <w:sz w:val="20"/>
              </w:rPr>
              <w:t>m</w:t>
            </w:r>
            <w:r w:rsidR="00C80578" w:rsidRPr="000A0BFB">
              <w:rPr>
                <w:rFonts w:ascii="Arial" w:hAnsi="Arial" w:cs="Arial"/>
                <w:vertAlign w:val="superscript"/>
              </w:rPr>
              <w:t>3</w:t>
            </w:r>
          </w:p>
        </w:tc>
        <w:tc>
          <w:tcPr>
            <w:tcW w:w="1916" w:type="dxa"/>
            <w:vAlign w:val="center"/>
          </w:tcPr>
          <w:p w:rsidR="003635F8" w:rsidRPr="000A0BFB" w:rsidRDefault="003635F8" w:rsidP="00C04A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8%</w:t>
            </w:r>
          </w:p>
        </w:tc>
      </w:tr>
      <w:tr w:rsidR="003635F8" w:rsidRPr="000A0BFB" w:rsidTr="00AE4B75">
        <w:tc>
          <w:tcPr>
            <w:cnfStyle w:val="001000000000" w:firstRow="0" w:lastRow="0" w:firstColumn="1" w:lastColumn="0" w:oddVBand="0" w:evenVBand="0" w:oddHBand="0" w:evenHBand="0" w:firstRowFirstColumn="0" w:firstRowLastColumn="0" w:lastRowFirstColumn="0" w:lastRowLastColumn="0"/>
            <w:tcW w:w="2709" w:type="dxa"/>
            <w:vAlign w:val="center"/>
          </w:tcPr>
          <w:p w:rsidR="003635F8" w:rsidRPr="000A0BFB" w:rsidRDefault="003635F8" w:rsidP="00AE4B75">
            <w:pPr>
              <w:spacing w:before="100" w:beforeAutospacing="1" w:after="100" w:afterAutospacing="1"/>
              <w:rPr>
                <w:rFonts w:ascii="Arial" w:eastAsia="Times New Roman" w:hAnsi="Arial" w:cs="Arial"/>
                <w:b w:val="0"/>
                <w:sz w:val="20"/>
              </w:rPr>
            </w:pPr>
            <w:r w:rsidRPr="000A0BFB">
              <w:rPr>
                <w:rFonts w:ascii="Arial" w:eastAsia="Times New Roman" w:hAnsi="Arial" w:cs="Arial"/>
                <w:b w:val="0"/>
                <w:sz w:val="20"/>
              </w:rPr>
              <w:t>Cubic meters of wastewater reused per year in selected activities</w:t>
            </w:r>
          </w:p>
        </w:tc>
        <w:tc>
          <w:tcPr>
            <w:tcW w:w="1121" w:type="dxa"/>
            <w:vAlign w:val="center"/>
          </w:tcPr>
          <w:p w:rsidR="003635F8" w:rsidRPr="000A0BFB" w:rsidRDefault="003635F8" w:rsidP="00C04A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0 m</w:t>
            </w:r>
            <w:r w:rsidR="00E72A88" w:rsidRPr="000A0BFB">
              <w:rPr>
                <w:rFonts w:ascii="Arial" w:hAnsi="Arial" w:cs="Arial"/>
                <w:vertAlign w:val="superscript"/>
              </w:rPr>
              <w:t>3</w:t>
            </w:r>
          </w:p>
        </w:tc>
        <w:tc>
          <w:tcPr>
            <w:tcW w:w="1498" w:type="dxa"/>
            <w:vAlign w:val="center"/>
          </w:tcPr>
          <w:p w:rsidR="003635F8" w:rsidRPr="000A0BFB" w:rsidRDefault="003635F8" w:rsidP="00C04A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0 m</w:t>
            </w:r>
            <w:r w:rsidR="00E72A88" w:rsidRPr="000A0BFB">
              <w:rPr>
                <w:rFonts w:ascii="Arial" w:hAnsi="Arial" w:cs="Arial"/>
                <w:vertAlign w:val="superscript"/>
              </w:rPr>
              <w:t>3</w:t>
            </w:r>
          </w:p>
        </w:tc>
        <w:tc>
          <w:tcPr>
            <w:tcW w:w="2332" w:type="dxa"/>
            <w:vAlign w:val="center"/>
          </w:tcPr>
          <w:p w:rsidR="003635F8" w:rsidRPr="000A0BFB" w:rsidRDefault="003635F8" w:rsidP="00C04A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938,727 m</w:t>
            </w:r>
            <w:r w:rsidR="00E72A88" w:rsidRPr="000A0BFB">
              <w:rPr>
                <w:rFonts w:ascii="Arial" w:hAnsi="Arial" w:cs="Arial"/>
                <w:vertAlign w:val="superscript"/>
              </w:rPr>
              <w:t>3</w:t>
            </w:r>
          </w:p>
        </w:tc>
        <w:tc>
          <w:tcPr>
            <w:tcW w:w="1916" w:type="dxa"/>
            <w:vAlign w:val="center"/>
          </w:tcPr>
          <w:p w:rsidR="003635F8" w:rsidRPr="000A0BFB" w:rsidRDefault="003635F8" w:rsidP="00C04A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 xml:space="preserve">0% - </w:t>
            </w:r>
            <w:r w:rsidRPr="000A0BFB">
              <w:rPr>
                <w:rFonts w:ascii="Arial" w:eastAsia="Times New Roman" w:hAnsi="Arial" w:cs="Arial"/>
                <w:i/>
                <w:sz w:val="20"/>
              </w:rPr>
              <w:t>Note: Currently under implementation; awaiting results.</w:t>
            </w:r>
          </w:p>
        </w:tc>
      </w:tr>
      <w:tr w:rsidR="003635F8" w:rsidRPr="000A0BFB" w:rsidTr="00AE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vAlign w:val="center"/>
          </w:tcPr>
          <w:p w:rsidR="003635F8" w:rsidRPr="000A0BFB" w:rsidRDefault="003635F8" w:rsidP="00AE4B75">
            <w:pPr>
              <w:spacing w:before="100" w:beforeAutospacing="1" w:after="100" w:afterAutospacing="1"/>
              <w:rPr>
                <w:rFonts w:ascii="Arial" w:eastAsia="Times New Roman" w:hAnsi="Arial" w:cs="Arial"/>
                <w:b w:val="0"/>
                <w:sz w:val="20"/>
              </w:rPr>
            </w:pPr>
            <w:r w:rsidRPr="000A0BFB">
              <w:rPr>
                <w:rFonts w:ascii="Arial" w:eastAsia="Times New Roman" w:hAnsi="Arial" w:cs="Arial"/>
                <w:b w:val="0"/>
                <w:sz w:val="20"/>
              </w:rPr>
              <w:t>Additional cubic meters of wastewater treated, effluent in accordance with norm</w:t>
            </w:r>
          </w:p>
        </w:tc>
        <w:tc>
          <w:tcPr>
            <w:tcW w:w="1121" w:type="dxa"/>
            <w:vAlign w:val="center"/>
          </w:tcPr>
          <w:p w:rsidR="003635F8" w:rsidRPr="000A0BFB" w:rsidRDefault="003635F8" w:rsidP="00C04A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0 m</w:t>
            </w:r>
            <w:r w:rsidR="00E72A88" w:rsidRPr="000A0BFB">
              <w:rPr>
                <w:rFonts w:ascii="Arial" w:hAnsi="Arial" w:cs="Arial"/>
                <w:vertAlign w:val="superscript"/>
              </w:rPr>
              <w:t>3</w:t>
            </w:r>
          </w:p>
        </w:tc>
        <w:tc>
          <w:tcPr>
            <w:tcW w:w="1498" w:type="dxa"/>
            <w:vAlign w:val="center"/>
          </w:tcPr>
          <w:p w:rsidR="003635F8" w:rsidRPr="000A0BFB" w:rsidRDefault="00DA5C11" w:rsidP="00C04A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1</w:t>
            </w:r>
            <w:r w:rsidR="00AE4B75" w:rsidRPr="000A0BFB">
              <w:rPr>
                <w:rFonts w:ascii="Arial" w:eastAsia="Times New Roman" w:hAnsi="Arial" w:cs="Arial"/>
                <w:sz w:val="20"/>
              </w:rPr>
              <w:t>,</w:t>
            </w:r>
            <w:r w:rsidRPr="000A0BFB">
              <w:rPr>
                <w:rFonts w:ascii="Arial" w:eastAsia="Times New Roman" w:hAnsi="Arial" w:cs="Arial"/>
                <w:sz w:val="20"/>
              </w:rPr>
              <w:t>123</w:t>
            </w:r>
            <w:r w:rsidR="00AE4B75" w:rsidRPr="000A0BFB">
              <w:rPr>
                <w:rFonts w:ascii="Arial" w:eastAsia="Times New Roman" w:hAnsi="Arial" w:cs="Arial"/>
                <w:sz w:val="20"/>
              </w:rPr>
              <w:t>,</w:t>
            </w:r>
            <w:r w:rsidRPr="000A0BFB">
              <w:rPr>
                <w:rFonts w:ascii="Arial" w:eastAsia="Times New Roman" w:hAnsi="Arial" w:cs="Arial"/>
                <w:sz w:val="20"/>
              </w:rPr>
              <w:t>680 m</w:t>
            </w:r>
            <w:r w:rsidR="00E72A88" w:rsidRPr="000A0BFB">
              <w:rPr>
                <w:rFonts w:ascii="Arial" w:hAnsi="Arial" w:cs="Arial"/>
                <w:vertAlign w:val="superscript"/>
              </w:rPr>
              <w:t>3</w:t>
            </w:r>
            <w:r w:rsidRPr="000A0BFB">
              <w:rPr>
                <w:rFonts w:ascii="Arial" w:eastAsia="Times New Roman" w:hAnsi="Arial" w:cs="Arial"/>
                <w:sz w:val="20"/>
              </w:rPr>
              <w:t xml:space="preserve"> (10/2012)</w:t>
            </w:r>
          </w:p>
        </w:tc>
        <w:tc>
          <w:tcPr>
            <w:tcW w:w="2332" w:type="dxa"/>
            <w:vAlign w:val="center"/>
          </w:tcPr>
          <w:p w:rsidR="003635F8" w:rsidRPr="000A0BFB" w:rsidRDefault="00DA5C11" w:rsidP="00C04A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19</w:t>
            </w:r>
            <w:r w:rsidR="00AE4B75" w:rsidRPr="000A0BFB">
              <w:rPr>
                <w:rFonts w:ascii="Arial" w:eastAsia="Times New Roman" w:hAnsi="Arial" w:cs="Arial"/>
                <w:sz w:val="20"/>
              </w:rPr>
              <w:t>,</w:t>
            </w:r>
            <w:r w:rsidRPr="000A0BFB">
              <w:rPr>
                <w:rFonts w:ascii="Arial" w:eastAsia="Times New Roman" w:hAnsi="Arial" w:cs="Arial"/>
                <w:sz w:val="20"/>
              </w:rPr>
              <w:t>793</w:t>
            </w:r>
            <w:r w:rsidR="00AE4B75" w:rsidRPr="000A0BFB">
              <w:rPr>
                <w:rFonts w:ascii="Arial" w:eastAsia="Times New Roman" w:hAnsi="Arial" w:cs="Arial"/>
                <w:sz w:val="20"/>
              </w:rPr>
              <w:t>,</w:t>
            </w:r>
            <w:r w:rsidRPr="000A0BFB">
              <w:rPr>
                <w:rFonts w:ascii="Arial" w:eastAsia="Times New Roman" w:hAnsi="Arial" w:cs="Arial"/>
                <w:sz w:val="20"/>
              </w:rPr>
              <w:t>513 m</w:t>
            </w:r>
            <w:r w:rsidR="00E72A88" w:rsidRPr="000A0BFB">
              <w:rPr>
                <w:rFonts w:ascii="Arial" w:hAnsi="Arial" w:cs="Arial"/>
                <w:vertAlign w:val="superscript"/>
              </w:rPr>
              <w:t>3</w:t>
            </w:r>
            <w:r w:rsidRPr="000A0BFB">
              <w:rPr>
                <w:rFonts w:ascii="Arial" w:eastAsia="Times New Roman" w:hAnsi="Arial" w:cs="Arial"/>
                <w:sz w:val="20"/>
              </w:rPr>
              <w:t xml:space="preserve"> – </w:t>
            </w:r>
            <w:r w:rsidRPr="000A0BFB">
              <w:rPr>
                <w:rFonts w:ascii="Arial" w:eastAsia="Times New Roman" w:hAnsi="Arial" w:cs="Arial"/>
                <w:i/>
                <w:sz w:val="20"/>
              </w:rPr>
              <w:t xml:space="preserve">Note: Plans to increase target to 22,791,986 </w:t>
            </w:r>
            <w:r w:rsidR="00AA2CC8" w:rsidRPr="000A0BFB">
              <w:rPr>
                <w:rFonts w:ascii="Arial" w:eastAsia="Times New Roman" w:hAnsi="Arial" w:cs="Arial"/>
                <w:sz w:val="20"/>
              </w:rPr>
              <w:t>m</w:t>
            </w:r>
            <w:r w:rsidR="00AA2CC8" w:rsidRPr="000A0BFB">
              <w:rPr>
                <w:rFonts w:ascii="Arial" w:hAnsi="Arial" w:cs="Arial"/>
                <w:vertAlign w:val="superscript"/>
              </w:rPr>
              <w:t>3</w:t>
            </w:r>
          </w:p>
        </w:tc>
        <w:tc>
          <w:tcPr>
            <w:tcW w:w="1916" w:type="dxa"/>
            <w:vAlign w:val="center"/>
          </w:tcPr>
          <w:p w:rsidR="003635F8" w:rsidRPr="000A0BFB" w:rsidRDefault="00AE4B75" w:rsidP="00C04A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6%</w:t>
            </w:r>
          </w:p>
        </w:tc>
      </w:tr>
      <w:tr w:rsidR="00F001C2" w:rsidRPr="000A0BFB" w:rsidTr="00AE4B75">
        <w:tc>
          <w:tcPr>
            <w:cnfStyle w:val="001000000000" w:firstRow="0" w:lastRow="0" w:firstColumn="1" w:lastColumn="0" w:oddVBand="0" w:evenVBand="0" w:oddHBand="0" w:evenHBand="0" w:firstRowFirstColumn="0" w:firstRowLastColumn="0" w:lastRowFirstColumn="0" w:lastRowLastColumn="0"/>
            <w:tcW w:w="2709" w:type="dxa"/>
            <w:vAlign w:val="center"/>
          </w:tcPr>
          <w:p w:rsidR="00F001C2" w:rsidRPr="000A0BFB" w:rsidRDefault="00F001C2" w:rsidP="00AE4B75">
            <w:pPr>
              <w:spacing w:before="100" w:beforeAutospacing="1" w:after="100" w:afterAutospacing="1"/>
              <w:rPr>
                <w:rFonts w:ascii="Arial" w:eastAsia="Times New Roman" w:hAnsi="Arial" w:cs="Arial"/>
                <w:b w:val="0"/>
                <w:sz w:val="20"/>
              </w:rPr>
            </w:pPr>
            <w:r w:rsidRPr="000A0BFB">
              <w:rPr>
                <w:rFonts w:ascii="Arial" w:eastAsia="Times New Roman" w:hAnsi="Arial" w:cs="Arial"/>
                <w:b w:val="0"/>
                <w:sz w:val="20"/>
              </w:rPr>
              <w:t>Number of people in urban areas provided with access to improved sanitation under the project</w:t>
            </w:r>
          </w:p>
        </w:tc>
        <w:tc>
          <w:tcPr>
            <w:tcW w:w="1121" w:type="dxa"/>
            <w:vAlign w:val="center"/>
          </w:tcPr>
          <w:p w:rsidR="00F001C2" w:rsidRPr="000A0BFB" w:rsidRDefault="00F001C2" w:rsidP="00C04A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0</w:t>
            </w:r>
          </w:p>
        </w:tc>
        <w:tc>
          <w:tcPr>
            <w:tcW w:w="1498" w:type="dxa"/>
            <w:vAlign w:val="center"/>
          </w:tcPr>
          <w:p w:rsidR="00F001C2" w:rsidRPr="000A0BFB" w:rsidRDefault="00F001C2" w:rsidP="00C04A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0 (12/2013)</w:t>
            </w:r>
          </w:p>
        </w:tc>
        <w:tc>
          <w:tcPr>
            <w:tcW w:w="2332" w:type="dxa"/>
            <w:vAlign w:val="center"/>
          </w:tcPr>
          <w:p w:rsidR="00F001C2" w:rsidRPr="000A0BFB" w:rsidRDefault="00F001C2" w:rsidP="00C04A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200,000 people</w:t>
            </w:r>
          </w:p>
        </w:tc>
        <w:tc>
          <w:tcPr>
            <w:tcW w:w="1916" w:type="dxa"/>
            <w:vAlign w:val="center"/>
          </w:tcPr>
          <w:p w:rsidR="00F001C2" w:rsidRPr="000A0BFB" w:rsidRDefault="00E72A88" w:rsidP="00C04A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0A0BFB">
              <w:rPr>
                <w:rFonts w:ascii="Arial" w:eastAsia="Times New Roman" w:hAnsi="Arial" w:cs="Arial"/>
                <w:sz w:val="20"/>
              </w:rPr>
              <w:t>N/A</w:t>
            </w:r>
          </w:p>
        </w:tc>
      </w:tr>
    </w:tbl>
    <w:p w:rsidR="00AE4B75" w:rsidRPr="000A0BFB" w:rsidRDefault="00AE4B75">
      <w:pPr>
        <w:rPr>
          <w:rFonts w:ascii="Arial" w:hAnsi="Arial" w:cs="Arial"/>
          <w:b/>
          <w:color w:val="002060"/>
        </w:rPr>
      </w:pPr>
    </w:p>
    <w:p w:rsidR="00FE3F25" w:rsidRPr="000A0BFB" w:rsidRDefault="007F0691" w:rsidP="00FE3F25">
      <w:pPr>
        <w:rPr>
          <w:rFonts w:ascii="Arial" w:hAnsi="Arial" w:cs="Arial"/>
          <w:b/>
        </w:rPr>
      </w:pPr>
      <w:r>
        <w:rPr>
          <w:rFonts w:ascii="Arial" w:hAnsi="Arial" w:cs="Arial"/>
          <w:b/>
        </w:rPr>
        <w:t>Key</w:t>
      </w:r>
      <w:r w:rsidR="0058392B">
        <w:rPr>
          <w:rFonts w:ascii="Arial" w:hAnsi="Arial" w:cs="Arial"/>
          <w:b/>
        </w:rPr>
        <w:t xml:space="preserve"> </w:t>
      </w:r>
      <w:r w:rsidR="00D95691">
        <w:rPr>
          <w:rFonts w:ascii="Arial" w:hAnsi="Arial" w:cs="Arial"/>
          <w:b/>
        </w:rPr>
        <w:t xml:space="preserve">Success </w:t>
      </w:r>
      <w:r w:rsidR="00FE3F25" w:rsidRPr="000A0BFB">
        <w:rPr>
          <w:rFonts w:ascii="Arial" w:hAnsi="Arial" w:cs="Arial"/>
          <w:b/>
        </w:rPr>
        <w:t xml:space="preserve">Factors </w:t>
      </w:r>
    </w:p>
    <w:p w:rsidR="00AE4B75" w:rsidRPr="000A0BFB" w:rsidRDefault="004D1010" w:rsidP="00F2332A">
      <w:pPr>
        <w:jc w:val="both"/>
        <w:rPr>
          <w:rFonts w:ascii="Arial" w:eastAsiaTheme="majorEastAsia" w:hAnsi="Arial" w:cs="Arial"/>
          <w:b/>
          <w:bCs/>
          <w:sz w:val="24"/>
        </w:rPr>
      </w:pPr>
      <w:r>
        <w:rPr>
          <w:rFonts w:ascii="Arial" w:hAnsi="Arial" w:cs="Arial"/>
          <w:b/>
          <w:i/>
        </w:rPr>
        <w:t>Appropriate Project Structuring</w:t>
      </w:r>
      <w:r w:rsidR="00807F3A" w:rsidRPr="000A0BFB">
        <w:rPr>
          <w:rFonts w:ascii="Arial" w:hAnsi="Arial" w:cs="Arial"/>
          <w:b/>
          <w:i/>
        </w:rPr>
        <w:t>:</w:t>
      </w:r>
      <w:r w:rsidR="00807F3A" w:rsidRPr="000A0BFB">
        <w:rPr>
          <w:rFonts w:ascii="Arial" w:hAnsi="Arial" w:cs="Arial"/>
        </w:rPr>
        <w:t xml:space="preserve"> While this project is still active and has not achieved all of its targets yet, the transparent O</w:t>
      </w:r>
      <w:r w:rsidR="00747693" w:rsidRPr="000A0BFB">
        <w:rPr>
          <w:rFonts w:ascii="Arial" w:hAnsi="Arial" w:cs="Arial"/>
        </w:rPr>
        <w:t>B</w:t>
      </w:r>
      <w:r w:rsidR="00807F3A" w:rsidRPr="000A0BFB">
        <w:rPr>
          <w:rFonts w:ascii="Arial" w:hAnsi="Arial" w:cs="Arial"/>
        </w:rPr>
        <w:t xml:space="preserve">D model makes it easy to understand the project’s indicators and track progress towards defined goals. </w:t>
      </w:r>
    </w:p>
    <w:p w:rsidR="007F0691" w:rsidRDefault="007F0691">
      <w:pPr>
        <w:rPr>
          <w:rFonts w:ascii="Arial" w:eastAsiaTheme="majorEastAsia" w:hAnsi="Arial" w:cs="Arial"/>
          <w:b/>
          <w:bCs/>
          <w:color w:val="002060"/>
          <w:sz w:val="32"/>
        </w:rPr>
      </w:pPr>
      <w:r>
        <w:rPr>
          <w:rFonts w:ascii="Arial" w:hAnsi="Arial" w:cs="Arial"/>
          <w:color w:val="002060"/>
          <w:sz w:val="32"/>
        </w:rPr>
        <w:br w:type="page"/>
      </w:r>
    </w:p>
    <w:p w:rsidR="001D23F4" w:rsidRPr="000A0BFB" w:rsidRDefault="001D23F4" w:rsidP="00F2332A">
      <w:pPr>
        <w:pStyle w:val="Heading1"/>
        <w:jc w:val="both"/>
        <w:rPr>
          <w:rFonts w:ascii="Arial" w:hAnsi="Arial" w:cs="Arial"/>
          <w:color w:val="002060"/>
          <w:sz w:val="32"/>
          <w:szCs w:val="22"/>
        </w:rPr>
      </w:pPr>
      <w:bookmarkStart w:id="16" w:name="_Toc404073799"/>
      <w:r w:rsidRPr="000A0BFB">
        <w:rPr>
          <w:rFonts w:ascii="Arial" w:hAnsi="Arial" w:cs="Arial"/>
          <w:color w:val="002060"/>
          <w:sz w:val="32"/>
          <w:szCs w:val="22"/>
        </w:rPr>
        <w:t>Case Stud</w:t>
      </w:r>
      <w:r w:rsidR="00105D96" w:rsidRPr="000A0BFB">
        <w:rPr>
          <w:rFonts w:ascii="Arial" w:hAnsi="Arial" w:cs="Arial"/>
          <w:color w:val="002060"/>
          <w:sz w:val="32"/>
          <w:szCs w:val="22"/>
        </w:rPr>
        <w:t>y</w:t>
      </w:r>
      <w:r w:rsidRPr="000A0BFB">
        <w:rPr>
          <w:rFonts w:ascii="Arial" w:hAnsi="Arial" w:cs="Arial"/>
          <w:color w:val="002060"/>
          <w:sz w:val="32"/>
          <w:szCs w:val="22"/>
        </w:rPr>
        <w:t>: Europe</w:t>
      </w:r>
      <w:bookmarkEnd w:id="16"/>
    </w:p>
    <w:p w:rsidR="001D23F4" w:rsidRPr="000A0BFB" w:rsidRDefault="001D23F4" w:rsidP="00F2332A">
      <w:pPr>
        <w:jc w:val="both"/>
        <w:rPr>
          <w:rFonts w:ascii="Arial" w:hAnsi="Arial" w:cs="Arial"/>
          <w:b/>
        </w:rPr>
      </w:pPr>
    </w:p>
    <w:p w:rsidR="0033386E" w:rsidRPr="000A0BFB" w:rsidRDefault="0033386E" w:rsidP="00F2332A">
      <w:pPr>
        <w:pStyle w:val="Heading2"/>
        <w:jc w:val="both"/>
        <w:rPr>
          <w:rFonts w:ascii="Arial" w:hAnsi="Arial" w:cs="Arial"/>
          <w:color w:val="92D050"/>
          <w:sz w:val="22"/>
        </w:rPr>
      </w:pPr>
      <w:bookmarkStart w:id="17" w:name="_Toc404073800"/>
      <w:r w:rsidRPr="000A0BFB">
        <w:rPr>
          <w:rFonts w:ascii="Arial" w:hAnsi="Arial" w:cs="Arial"/>
          <w:color w:val="92D050"/>
          <w:sz w:val="24"/>
        </w:rPr>
        <w:t>Croatia: Zagreb Wastewater Treatment Plant</w:t>
      </w:r>
      <w:bookmarkEnd w:id="17"/>
    </w:p>
    <w:p w:rsidR="00CD1D20" w:rsidRPr="000A0BFB" w:rsidRDefault="00CD1D20" w:rsidP="00F2332A">
      <w:pPr>
        <w:ind w:left="1440"/>
        <w:jc w:val="both"/>
        <w:rPr>
          <w:rFonts w:ascii="Arial" w:hAnsi="Arial" w:cs="Arial"/>
        </w:rPr>
      </w:pPr>
    </w:p>
    <w:p w:rsidR="00D20E3E" w:rsidRPr="000A0BFB" w:rsidRDefault="00D20E3E" w:rsidP="00F2332A">
      <w:pPr>
        <w:jc w:val="both"/>
        <w:rPr>
          <w:rFonts w:ascii="Arial" w:hAnsi="Arial" w:cs="Arial"/>
          <w:b/>
        </w:rPr>
      </w:pPr>
      <w:r w:rsidRPr="000A0BFB">
        <w:rPr>
          <w:rFonts w:ascii="Arial" w:hAnsi="Arial" w:cs="Arial"/>
          <w:b/>
        </w:rPr>
        <w:t>Project Overview</w:t>
      </w:r>
    </w:p>
    <w:p w:rsidR="00980F54" w:rsidRPr="000A0BFB" w:rsidRDefault="00F1573A" w:rsidP="00F2332A">
      <w:pPr>
        <w:jc w:val="both"/>
        <w:rPr>
          <w:rFonts w:ascii="Arial" w:hAnsi="Arial" w:cs="Arial"/>
        </w:rPr>
      </w:pPr>
      <w:r w:rsidRPr="000A0BFB">
        <w:rPr>
          <w:rFonts w:ascii="Arial" w:hAnsi="Arial" w:cs="Arial"/>
        </w:rPr>
        <w:t xml:space="preserve">The Zagreb Wastewater Treatment Plant project was </w:t>
      </w:r>
      <w:r w:rsidR="00E72A88" w:rsidRPr="000A0BFB">
        <w:rPr>
          <w:rFonts w:ascii="Arial" w:hAnsi="Arial" w:cs="Arial"/>
        </w:rPr>
        <w:t>implemented</w:t>
      </w:r>
      <w:r w:rsidRPr="000A0BFB">
        <w:rPr>
          <w:rFonts w:ascii="Arial" w:hAnsi="Arial" w:cs="Arial"/>
        </w:rPr>
        <w:t xml:space="preserve"> in 2004 with the goal </w:t>
      </w:r>
      <w:r w:rsidR="00D1371B" w:rsidRPr="000A0BFB">
        <w:rPr>
          <w:rFonts w:ascii="Arial" w:hAnsi="Arial" w:cs="Arial"/>
        </w:rPr>
        <w:t xml:space="preserve">of improving </w:t>
      </w:r>
      <w:r w:rsidRPr="000A0BFB">
        <w:rPr>
          <w:rFonts w:ascii="Arial" w:hAnsi="Arial" w:cs="Arial"/>
        </w:rPr>
        <w:t xml:space="preserve">water quality in the River Sava </w:t>
      </w:r>
      <w:r w:rsidR="00D1371B" w:rsidRPr="000A0BFB">
        <w:rPr>
          <w:rFonts w:ascii="Arial" w:hAnsi="Arial" w:cs="Arial"/>
        </w:rPr>
        <w:t xml:space="preserve">catchment </w:t>
      </w:r>
      <w:r w:rsidRPr="000A0BFB">
        <w:rPr>
          <w:rFonts w:ascii="Arial" w:hAnsi="Arial" w:cs="Arial"/>
        </w:rPr>
        <w:t xml:space="preserve">area to reach EU standards. The project, led by the European Bank for Reconstruction and Development (EBRD), was structured as a 28-year BOT </w:t>
      </w:r>
      <w:r w:rsidR="00783AC5" w:rsidRPr="000A0BFB">
        <w:rPr>
          <w:rFonts w:ascii="Arial" w:hAnsi="Arial" w:cs="Arial"/>
        </w:rPr>
        <w:t xml:space="preserve">concession </w:t>
      </w:r>
      <w:r w:rsidR="001C5D03" w:rsidRPr="000A0BFB">
        <w:rPr>
          <w:rFonts w:ascii="Arial" w:hAnsi="Arial" w:cs="Arial"/>
        </w:rPr>
        <w:t xml:space="preserve">with a total project cost </w:t>
      </w:r>
      <w:r w:rsidR="00980F54" w:rsidRPr="000A0BFB">
        <w:rPr>
          <w:rFonts w:ascii="Arial" w:hAnsi="Arial" w:cs="Arial"/>
        </w:rPr>
        <w:t xml:space="preserve">projected at </w:t>
      </w:r>
      <w:r w:rsidR="001C5D03" w:rsidRPr="000A0BFB">
        <w:rPr>
          <w:rFonts w:ascii="Arial" w:hAnsi="Arial" w:cs="Arial"/>
        </w:rPr>
        <w:t>2</w:t>
      </w:r>
      <w:r w:rsidR="00783AC5" w:rsidRPr="000A0BFB">
        <w:rPr>
          <w:rFonts w:ascii="Arial" w:hAnsi="Arial" w:cs="Arial"/>
        </w:rPr>
        <w:t>9</w:t>
      </w:r>
      <w:r w:rsidR="001C5D03" w:rsidRPr="000A0BFB">
        <w:rPr>
          <w:rFonts w:ascii="Arial" w:hAnsi="Arial" w:cs="Arial"/>
        </w:rPr>
        <w:t xml:space="preserve">0 million Euros. </w:t>
      </w:r>
    </w:p>
    <w:p w:rsidR="00980F54" w:rsidRPr="000A0BFB" w:rsidRDefault="00980F54" w:rsidP="00F2332A">
      <w:pPr>
        <w:jc w:val="both"/>
        <w:rPr>
          <w:rFonts w:ascii="Arial" w:hAnsi="Arial" w:cs="Arial"/>
        </w:rPr>
      </w:pPr>
      <w:r w:rsidRPr="000A0BFB">
        <w:rPr>
          <w:rFonts w:ascii="Arial" w:hAnsi="Arial" w:cs="Arial"/>
        </w:rPr>
        <w:t xml:space="preserve">The private operator, </w:t>
      </w:r>
      <w:r w:rsidR="00783AC5" w:rsidRPr="000A0BFB">
        <w:rPr>
          <w:rFonts w:ascii="Arial" w:hAnsi="Arial" w:cs="Arial"/>
        </w:rPr>
        <w:t>Zagrebacke Otpadne Vode (ZOV)</w:t>
      </w:r>
      <w:r w:rsidR="00783AC5" w:rsidRPr="000A0BFB">
        <w:rPr>
          <w:rStyle w:val="FootnoteReference"/>
          <w:rFonts w:ascii="Arial" w:hAnsi="Arial" w:cs="Arial"/>
        </w:rPr>
        <w:footnoteReference w:id="46"/>
      </w:r>
      <w:r w:rsidRPr="000A0BFB">
        <w:rPr>
          <w:rFonts w:ascii="Arial" w:hAnsi="Arial" w:cs="Arial"/>
        </w:rPr>
        <w:t>, is an SPV that is owned by a consortium consisting of RWE Aqua GmbH</w:t>
      </w:r>
      <w:r w:rsidR="00783AC5" w:rsidRPr="000A0BFB">
        <w:rPr>
          <w:rFonts w:ascii="Arial" w:hAnsi="Arial" w:cs="Arial"/>
        </w:rPr>
        <w:t xml:space="preserve"> (48.5%)</w:t>
      </w:r>
      <w:r w:rsidRPr="000A0BFB">
        <w:rPr>
          <w:rFonts w:ascii="Arial" w:hAnsi="Arial" w:cs="Arial"/>
        </w:rPr>
        <w:t>, a subsidiary of the German utility RWE AG, and WTE Wassertechnik</w:t>
      </w:r>
      <w:r w:rsidR="00783AC5" w:rsidRPr="000A0BFB">
        <w:rPr>
          <w:rFonts w:ascii="Arial" w:hAnsi="Arial" w:cs="Arial"/>
        </w:rPr>
        <w:t xml:space="preserve"> (48.5%)</w:t>
      </w:r>
      <w:r w:rsidRPr="000A0BFB">
        <w:rPr>
          <w:rFonts w:ascii="Arial" w:hAnsi="Arial" w:cs="Arial"/>
        </w:rPr>
        <w:t>, a subsidiary of the Austrian utility, EVN AG</w:t>
      </w:r>
      <w:r w:rsidR="00783AC5" w:rsidRPr="000A0BFB">
        <w:rPr>
          <w:rFonts w:ascii="Arial" w:hAnsi="Arial" w:cs="Arial"/>
        </w:rPr>
        <w:t xml:space="preserve"> and </w:t>
      </w:r>
      <w:r w:rsidRPr="000A0BFB">
        <w:rPr>
          <w:rFonts w:ascii="Arial" w:hAnsi="Arial" w:cs="Arial"/>
        </w:rPr>
        <w:t>Vodoprivreda Zagreb</w:t>
      </w:r>
      <w:r w:rsidR="00783AC5" w:rsidRPr="000A0BFB">
        <w:rPr>
          <w:rFonts w:ascii="Arial" w:hAnsi="Arial" w:cs="Arial"/>
        </w:rPr>
        <w:t xml:space="preserve"> (3%)</w:t>
      </w:r>
      <w:r w:rsidRPr="000A0BFB">
        <w:rPr>
          <w:rFonts w:ascii="Arial" w:hAnsi="Arial" w:cs="Arial"/>
        </w:rPr>
        <w:t xml:space="preserve">, a municipal company of the city of Zagreb. </w:t>
      </w:r>
      <w:r w:rsidR="00783AC5" w:rsidRPr="000A0BFB">
        <w:rPr>
          <w:rFonts w:ascii="Arial" w:hAnsi="Arial" w:cs="Arial"/>
        </w:rPr>
        <w:t>The project concession was awarded in December 2000 and the project reached financial close in December 2002.</w:t>
      </w:r>
    </w:p>
    <w:p w:rsidR="004E4619" w:rsidRPr="000A0BFB" w:rsidRDefault="00783AC5" w:rsidP="00F2332A">
      <w:pPr>
        <w:jc w:val="both"/>
        <w:rPr>
          <w:rFonts w:ascii="Arial" w:hAnsi="Arial" w:cs="Arial"/>
        </w:rPr>
      </w:pPr>
      <w:r w:rsidRPr="000A0BFB">
        <w:rPr>
          <w:rFonts w:ascii="Arial" w:hAnsi="Arial" w:cs="Arial"/>
        </w:rPr>
        <w:t xml:space="preserve">For the project, ZOV was able </w:t>
      </w:r>
      <w:r w:rsidR="00E72A88" w:rsidRPr="000A0BFB">
        <w:rPr>
          <w:rFonts w:ascii="Arial" w:hAnsi="Arial" w:cs="Arial"/>
        </w:rPr>
        <w:t>secure</w:t>
      </w:r>
      <w:r w:rsidR="001C5D03" w:rsidRPr="000A0BFB">
        <w:rPr>
          <w:rFonts w:ascii="Arial" w:hAnsi="Arial" w:cs="Arial"/>
        </w:rPr>
        <w:t>55 million Euros</w:t>
      </w:r>
      <w:r w:rsidRPr="000A0BFB">
        <w:rPr>
          <w:rFonts w:ascii="Arial" w:hAnsi="Arial" w:cs="Arial"/>
        </w:rPr>
        <w:t xml:space="preserve"> from EBRD, which was co</w:t>
      </w:r>
      <w:r w:rsidR="00E72A88" w:rsidRPr="000A0BFB">
        <w:rPr>
          <w:rFonts w:ascii="Arial" w:hAnsi="Arial" w:cs="Arial"/>
        </w:rPr>
        <w:t>-</w:t>
      </w:r>
      <w:r w:rsidRPr="000A0BFB">
        <w:rPr>
          <w:rFonts w:ascii="Arial" w:hAnsi="Arial" w:cs="Arial"/>
        </w:rPr>
        <w:t xml:space="preserve">financed by a 115 </w:t>
      </w:r>
      <w:r w:rsidR="00E72A88" w:rsidRPr="000A0BFB">
        <w:rPr>
          <w:rFonts w:ascii="Arial" w:hAnsi="Arial" w:cs="Arial"/>
        </w:rPr>
        <w:t xml:space="preserve">million </w:t>
      </w:r>
      <w:r w:rsidRPr="000A0BFB">
        <w:rPr>
          <w:rFonts w:ascii="Arial" w:hAnsi="Arial" w:cs="Arial"/>
        </w:rPr>
        <w:t xml:space="preserve">Euro loan from the </w:t>
      </w:r>
      <w:r w:rsidR="00E83A8C" w:rsidRPr="000A0BFB">
        <w:rPr>
          <w:rFonts w:ascii="Arial" w:hAnsi="Arial" w:cs="Arial"/>
        </w:rPr>
        <w:t>German bank KfW</w:t>
      </w:r>
      <w:r w:rsidRPr="000A0BFB">
        <w:rPr>
          <w:rFonts w:ascii="Arial" w:hAnsi="Arial" w:cs="Arial"/>
        </w:rPr>
        <w:t xml:space="preserve">. </w:t>
      </w:r>
      <w:r w:rsidR="00813114" w:rsidRPr="000A0BFB">
        <w:rPr>
          <w:rFonts w:ascii="Arial" w:hAnsi="Arial" w:cs="Arial"/>
        </w:rPr>
        <w:t>Additionally, the two co-arrangers that joined the financing in the EBRD B-loan</w:t>
      </w:r>
      <w:r w:rsidR="00E72A88" w:rsidRPr="000A0BFB">
        <w:rPr>
          <w:rFonts w:ascii="Arial" w:hAnsi="Arial" w:cs="Arial"/>
        </w:rPr>
        <w:t xml:space="preserve">, </w:t>
      </w:r>
      <w:r w:rsidR="00813114" w:rsidRPr="000A0BFB">
        <w:rPr>
          <w:rFonts w:ascii="Arial" w:hAnsi="Arial" w:cs="Arial"/>
        </w:rPr>
        <w:t xml:space="preserve">Dexia Credit </w:t>
      </w:r>
      <w:r w:rsidR="002950F0" w:rsidRPr="000A0BFB">
        <w:rPr>
          <w:rFonts w:ascii="Arial" w:hAnsi="Arial" w:cs="Arial"/>
        </w:rPr>
        <w:t>Local and</w:t>
      </w:r>
      <w:r w:rsidR="00813114" w:rsidRPr="000A0BFB">
        <w:rPr>
          <w:rFonts w:ascii="Arial" w:hAnsi="Arial" w:cs="Arial"/>
        </w:rPr>
        <w:t xml:space="preserve"> Bank Austria</w:t>
      </w:r>
      <w:r w:rsidR="002950F0" w:rsidRPr="000A0BFB">
        <w:rPr>
          <w:rFonts w:ascii="Arial" w:hAnsi="Arial" w:cs="Arial"/>
        </w:rPr>
        <w:t>, each</w:t>
      </w:r>
      <w:r w:rsidR="00813114" w:rsidRPr="000A0BFB">
        <w:rPr>
          <w:rFonts w:ascii="Arial" w:hAnsi="Arial" w:cs="Arial"/>
        </w:rPr>
        <w:t xml:space="preserve"> contributed 10 million Euros. The project sponsors contributed 42 million Euros to the project with the remainder of the project costs being covered from the cash generated from the phased completion of the project. </w:t>
      </w:r>
    </w:p>
    <w:p w:rsidR="00813114" w:rsidRPr="000A0BFB" w:rsidRDefault="00F1573A" w:rsidP="00F2332A">
      <w:pPr>
        <w:jc w:val="both"/>
        <w:rPr>
          <w:rFonts w:ascii="Arial" w:hAnsi="Arial" w:cs="Arial"/>
        </w:rPr>
      </w:pPr>
      <w:r w:rsidRPr="000A0BFB">
        <w:rPr>
          <w:rFonts w:ascii="Arial" w:hAnsi="Arial" w:cs="Arial"/>
        </w:rPr>
        <w:t xml:space="preserve">In addition to the construction and operation of the plant itself, the awardee </w:t>
      </w:r>
      <w:r w:rsidR="00D1371B" w:rsidRPr="000A0BFB">
        <w:rPr>
          <w:rFonts w:ascii="Arial" w:hAnsi="Arial" w:cs="Arial"/>
        </w:rPr>
        <w:t xml:space="preserve">was also </w:t>
      </w:r>
      <w:r w:rsidRPr="000A0BFB">
        <w:rPr>
          <w:rFonts w:ascii="Arial" w:hAnsi="Arial" w:cs="Arial"/>
        </w:rPr>
        <w:t>responsible for the construction (but not the design or operation) of supporting infrastructure</w:t>
      </w:r>
      <w:r w:rsidR="001C5D03" w:rsidRPr="000A0BFB">
        <w:rPr>
          <w:rFonts w:ascii="Arial" w:hAnsi="Arial" w:cs="Arial"/>
        </w:rPr>
        <w:t xml:space="preserve"> (ex: access road, collection</w:t>
      </w:r>
      <w:r w:rsidRPr="000A0BFB">
        <w:rPr>
          <w:rFonts w:ascii="Arial" w:hAnsi="Arial" w:cs="Arial"/>
        </w:rPr>
        <w:t xml:space="preserve"> pipeline, cover for a drainage canal, bridge).</w:t>
      </w:r>
    </w:p>
    <w:p w:rsidR="00F9533E" w:rsidRPr="000A0BFB" w:rsidRDefault="00F9533E" w:rsidP="00F2332A">
      <w:pPr>
        <w:jc w:val="both"/>
        <w:rPr>
          <w:rFonts w:ascii="Arial" w:hAnsi="Arial" w:cs="Arial"/>
          <w:b/>
        </w:rPr>
      </w:pPr>
      <w:r w:rsidRPr="000A0BFB">
        <w:rPr>
          <w:rFonts w:ascii="Arial" w:hAnsi="Arial" w:cs="Arial"/>
          <w:b/>
        </w:rPr>
        <w:t>Noteworthy Outcomes</w:t>
      </w:r>
    </w:p>
    <w:p w:rsidR="001C5D03" w:rsidRPr="000A0BFB" w:rsidRDefault="001C5D03" w:rsidP="00F2332A">
      <w:pPr>
        <w:jc w:val="both"/>
        <w:rPr>
          <w:rFonts w:ascii="Arial" w:hAnsi="Arial" w:cs="Arial"/>
        </w:rPr>
      </w:pPr>
      <w:r w:rsidRPr="000A0BFB">
        <w:rPr>
          <w:rFonts w:ascii="Arial" w:hAnsi="Arial" w:cs="Arial"/>
        </w:rPr>
        <w:t xml:space="preserve">Though all </w:t>
      </w:r>
      <w:r w:rsidR="00813114" w:rsidRPr="000A0BFB">
        <w:rPr>
          <w:rFonts w:ascii="Arial" w:hAnsi="Arial" w:cs="Arial"/>
        </w:rPr>
        <w:t xml:space="preserve">parties </w:t>
      </w:r>
      <w:r w:rsidRPr="000A0BFB">
        <w:rPr>
          <w:rFonts w:ascii="Arial" w:hAnsi="Arial" w:cs="Arial"/>
        </w:rPr>
        <w:t>involved seemed to agree on the need to improve water quality</w:t>
      </w:r>
      <w:r w:rsidR="00813114" w:rsidRPr="000A0BFB">
        <w:rPr>
          <w:rFonts w:ascii="Arial" w:hAnsi="Arial" w:cs="Arial"/>
        </w:rPr>
        <w:t xml:space="preserve"> in Zagreb</w:t>
      </w:r>
      <w:r w:rsidRPr="000A0BFB">
        <w:rPr>
          <w:rFonts w:ascii="Arial" w:hAnsi="Arial" w:cs="Arial"/>
        </w:rPr>
        <w:t xml:space="preserve">, concerns have been raised over </w:t>
      </w:r>
      <w:r w:rsidR="00F9533E" w:rsidRPr="000A0BFB">
        <w:rPr>
          <w:rFonts w:ascii="Arial" w:hAnsi="Arial" w:cs="Arial"/>
        </w:rPr>
        <w:t>the</w:t>
      </w:r>
      <w:r w:rsidRPr="000A0BFB">
        <w:rPr>
          <w:rFonts w:ascii="Arial" w:hAnsi="Arial" w:cs="Arial"/>
        </w:rPr>
        <w:t xml:space="preserve"> cost of the project</w:t>
      </w:r>
      <w:r w:rsidR="00F9533E" w:rsidRPr="000A0BFB">
        <w:rPr>
          <w:rFonts w:ascii="Arial" w:hAnsi="Arial" w:cs="Arial"/>
        </w:rPr>
        <w:t xml:space="preserve">, which </w:t>
      </w:r>
      <w:r w:rsidR="004E4619" w:rsidRPr="000A0BFB">
        <w:rPr>
          <w:rFonts w:ascii="Arial" w:hAnsi="Arial" w:cs="Arial"/>
        </w:rPr>
        <w:t xml:space="preserve">seem to </w:t>
      </w:r>
      <w:r w:rsidR="00F9533E" w:rsidRPr="000A0BFB">
        <w:rPr>
          <w:rFonts w:ascii="Arial" w:hAnsi="Arial" w:cs="Arial"/>
        </w:rPr>
        <w:t>have risen without clear justifications for the increase</w:t>
      </w:r>
      <w:r w:rsidRPr="000A0BFB">
        <w:rPr>
          <w:rFonts w:ascii="Arial" w:hAnsi="Arial" w:cs="Arial"/>
        </w:rPr>
        <w:t xml:space="preserve">. </w:t>
      </w:r>
      <w:r w:rsidR="00813114" w:rsidRPr="000A0BFB">
        <w:rPr>
          <w:rFonts w:ascii="Arial" w:hAnsi="Arial" w:cs="Arial"/>
        </w:rPr>
        <w:t xml:space="preserve">While the City Assembly </w:t>
      </w:r>
      <w:r w:rsidR="00F9533E" w:rsidRPr="000A0BFB">
        <w:rPr>
          <w:rFonts w:ascii="Arial" w:hAnsi="Arial" w:cs="Arial"/>
        </w:rPr>
        <w:t>agreed on a total cost of EUR 176 million</w:t>
      </w:r>
      <w:r w:rsidR="00813114" w:rsidRPr="000A0BFB">
        <w:rPr>
          <w:rFonts w:ascii="Arial" w:hAnsi="Arial" w:cs="Arial"/>
        </w:rPr>
        <w:t xml:space="preserve"> in 2001</w:t>
      </w:r>
      <w:r w:rsidR="00F9533E" w:rsidRPr="000A0BFB">
        <w:rPr>
          <w:rFonts w:ascii="Arial" w:hAnsi="Arial" w:cs="Arial"/>
        </w:rPr>
        <w:t xml:space="preserve">, </w:t>
      </w:r>
      <w:r w:rsidR="00813114" w:rsidRPr="000A0BFB">
        <w:rPr>
          <w:rFonts w:ascii="Arial" w:hAnsi="Arial" w:cs="Arial"/>
        </w:rPr>
        <w:t>the project was expected to cost EUR 290</w:t>
      </w:r>
      <w:r w:rsidR="00AC38F8" w:rsidRPr="000A0BFB">
        <w:rPr>
          <w:rStyle w:val="FootnoteReference"/>
          <w:rFonts w:ascii="Arial" w:hAnsi="Arial" w:cs="Arial"/>
        </w:rPr>
        <w:footnoteReference w:id="47"/>
      </w:r>
      <w:r w:rsidR="00AC38F8" w:rsidRPr="000A0BFB">
        <w:rPr>
          <w:rFonts w:ascii="Arial" w:hAnsi="Arial" w:cs="Arial"/>
        </w:rPr>
        <w:t xml:space="preserve">million </w:t>
      </w:r>
      <w:r w:rsidR="00813114" w:rsidRPr="000A0BFB">
        <w:rPr>
          <w:rFonts w:ascii="Arial" w:hAnsi="Arial" w:cs="Arial"/>
        </w:rPr>
        <w:t>by the time of financial close. B</w:t>
      </w:r>
      <w:r w:rsidR="00F9533E" w:rsidRPr="000A0BFB">
        <w:rPr>
          <w:rFonts w:ascii="Arial" w:hAnsi="Arial" w:cs="Arial"/>
        </w:rPr>
        <w:t>y the end of 2007</w:t>
      </w:r>
      <w:r w:rsidR="00813114" w:rsidRPr="000A0BFB">
        <w:rPr>
          <w:rFonts w:ascii="Arial" w:hAnsi="Arial" w:cs="Arial"/>
        </w:rPr>
        <w:t xml:space="preserve">, </w:t>
      </w:r>
      <w:r w:rsidR="00F9533E" w:rsidRPr="000A0BFB">
        <w:rPr>
          <w:rFonts w:ascii="Arial" w:hAnsi="Arial" w:cs="Arial"/>
        </w:rPr>
        <w:t>the total cost was reported at EUR 326.7 by EBRD.</w:t>
      </w:r>
      <w:r w:rsidR="00F9533E" w:rsidRPr="000A0BFB">
        <w:rPr>
          <w:rStyle w:val="FootnoteReference"/>
          <w:rFonts w:ascii="Arial" w:hAnsi="Arial" w:cs="Arial"/>
        </w:rPr>
        <w:footnoteReference w:id="48"/>
      </w:r>
      <w:r w:rsidR="00F9533E" w:rsidRPr="000A0BFB">
        <w:rPr>
          <w:rFonts w:ascii="Arial" w:hAnsi="Arial" w:cs="Arial"/>
        </w:rPr>
        <w:t xml:space="preserve"> Furthermore, b</w:t>
      </w:r>
      <w:r w:rsidRPr="000A0BFB">
        <w:rPr>
          <w:rFonts w:ascii="Arial" w:hAnsi="Arial" w:cs="Arial"/>
        </w:rPr>
        <w:t xml:space="preserve">y the end of 2006 the </w:t>
      </w:r>
      <w:r w:rsidR="00774D07" w:rsidRPr="000A0BFB">
        <w:rPr>
          <w:rFonts w:ascii="Arial" w:hAnsi="Arial" w:cs="Arial"/>
        </w:rPr>
        <w:t xml:space="preserve">sum of the monthly service fees that the </w:t>
      </w:r>
      <w:r w:rsidRPr="000A0BFB">
        <w:rPr>
          <w:rFonts w:ascii="Arial" w:hAnsi="Arial" w:cs="Arial"/>
        </w:rPr>
        <w:t xml:space="preserve">City of Zagreb had paid </w:t>
      </w:r>
      <w:r w:rsidR="00774D07" w:rsidRPr="000A0BFB">
        <w:rPr>
          <w:rFonts w:ascii="Arial" w:hAnsi="Arial" w:cs="Arial"/>
        </w:rPr>
        <w:t xml:space="preserve">to ZOV was equivalent to </w:t>
      </w:r>
      <w:r w:rsidRPr="000A0BFB">
        <w:rPr>
          <w:rFonts w:ascii="Arial" w:hAnsi="Arial" w:cs="Arial"/>
        </w:rPr>
        <w:t>about 7</w:t>
      </w:r>
      <w:r w:rsidR="00774D07" w:rsidRPr="000A0BFB">
        <w:rPr>
          <w:rFonts w:ascii="Arial" w:hAnsi="Arial" w:cs="Arial"/>
        </w:rPr>
        <w:t>6</w:t>
      </w:r>
      <w:r w:rsidRPr="000A0BFB">
        <w:rPr>
          <w:rFonts w:ascii="Arial" w:hAnsi="Arial" w:cs="Arial"/>
        </w:rPr>
        <w:t xml:space="preserve"> percent of the </w:t>
      </w:r>
      <w:r w:rsidR="00F9533E" w:rsidRPr="000A0BFB">
        <w:rPr>
          <w:rFonts w:ascii="Arial" w:hAnsi="Arial" w:cs="Arial"/>
        </w:rPr>
        <w:t xml:space="preserve">fixed </w:t>
      </w:r>
      <w:r w:rsidRPr="000A0BFB">
        <w:rPr>
          <w:rFonts w:ascii="Arial" w:hAnsi="Arial" w:cs="Arial"/>
        </w:rPr>
        <w:t>plant construction costs</w:t>
      </w:r>
      <w:r w:rsidR="00774D07" w:rsidRPr="000A0BFB">
        <w:rPr>
          <w:rFonts w:ascii="Arial" w:hAnsi="Arial" w:cs="Arial"/>
        </w:rPr>
        <w:t xml:space="preserve">. This raised questions and suspicions with the local community on why the city chose to go the PPP route instead of financing the project through </w:t>
      </w:r>
      <w:r w:rsidRPr="000A0BFB">
        <w:rPr>
          <w:rFonts w:ascii="Arial" w:hAnsi="Arial" w:cs="Arial"/>
        </w:rPr>
        <w:t>normal public procurement</w:t>
      </w:r>
      <w:r w:rsidR="004E4619" w:rsidRPr="000A0BFB">
        <w:rPr>
          <w:rFonts w:ascii="Arial" w:hAnsi="Arial" w:cs="Arial"/>
        </w:rPr>
        <w:t xml:space="preserve"> methods</w:t>
      </w:r>
      <w:r w:rsidRPr="000A0BFB">
        <w:rPr>
          <w:rFonts w:ascii="Arial" w:hAnsi="Arial" w:cs="Arial"/>
        </w:rPr>
        <w:t>.</w:t>
      </w:r>
    </w:p>
    <w:p w:rsidR="00F9533E" w:rsidRPr="000A0BFB" w:rsidRDefault="001C5D03" w:rsidP="00F2332A">
      <w:pPr>
        <w:jc w:val="both"/>
        <w:rPr>
          <w:rFonts w:ascii="Arial" w:hAnsi="Arial" w:cs="Arial"/>
        </w:rPr>
      </w:pPr>
      <w:r w:rsidRPr="000A0BFB">
        <w:rPr>
          <w:rFonts w:ascii="Arial" w:hAnsi="Arial" w:cs="Arial"/>
        </w:rPr>
        <w:t>According to</w:t>
      </w:r>
      <w:r w:rsidR="00F9533E" w:rsidRPr="000A0BFB">
        <w:rPr>
          <w:rFonts w:ascii="Arial" w:hAnsi="Arial" w:cs="Arial"/>
        </w:rPr>
        <w:t xml:space="preserve"> a </w:t>
      </w:r>
      <w:r w:rsidRPr="000A0BFB">
        <w:rPr>
          <w:rFonts w:ascii="Arial" w:hAnsi="Arial" w:cs="Arial"/>
        </w:rPr>
        <w:t>Commission</w:t>
      </w:r>
      <w:r w:rsidR="00F9533E" w:rsidRPr="000A0BFB">
        <w:rPr>
          <w:rFonts w:ascii="Arial" w:hAnsi="Arial" w:cs="Arial"/>
        </w:rPr>
        <w:t xml:space="preserve"> of Experts established by the Zagreb City Council, the design of the project </w:t>
      </w:r>
      <w:r w:rsidR="00774D07" w:rsidRPr="000A0BFB">
        <w:rPr>
          <w:rFonts w:ascii="Arial" w:hAnsi="Arial" w:cs="Arial"/>
        </w:rPr>
        <w:t xml:space="preserve">was </w:t>
      </w:r>
      <w:r w:rsidR="00F9533E" w:rsidRPr="000A0BFB">
        <w:rPr>
          <w:rFonts w:ascii="Arial" w:hAnsi="Arial" w:cs="Arial"/>
        </w:rPr>
        <w:t>unsuitable</w:t>
      </w:r>
      <w:r w:rsidR="00774D07" w:rsidRPr="000A0BFB">
        <w:rPr>
          <w:rFonts w:ascii="Arial" w:hAnsi="Arial" w:cs="Arial"/>
        </w:rPr>
        <w:t xml:space="preserve"> to the then state of the sewage system and drainage conditions of Zagreb.</w:t>
      </w:r>
      <w:r w:rsidR="00132488">
        <w:rPr>
          <w:rFonts w:ascii="Arial" w:hAnsi="Arial" w:cs="Arial"/>
        </w:rPr>
        <w:t xml:space="preserve"> </w:t>
      </w:r>
      <w:r w:rsidR="00F9533E" w:rsidRPr="000A0BFB">
        <w:rPr>
          <w:rFonts w:ascii="Arial" w:hAnsi="Arial" w:cs="Arial"/>
        </w:rPr>
        <w:t xml:space="preserve">The </w:t>
      </w:r>
      <w:r w:rsidRPr="000A0BFB">
        <w:rPr>
          <w:rFonts w:ascii="Arial" w:hAnsi="Arial" w:cs="Arial"/>
        </w:rPr>
        <w:t xml:space="preserve">Commission </w:t>
      </w:r>
      <w:r w:rsidR="00F9533E" w:rsidRPr="000A0BFB">
        <w:rPr>
          <w:rFonts w:ascii="Arial" w:hAnsi="Arial" w:cs="Arial"/>
        </w:rPr>
        <w:t>also provided recommendations to amend the situation including</w:t>
      </w:r>
      <w:r w:rsidR="004E4619" w:rsidRPr="000A0BFB">
        <w:rPr>
          <w:rFonts w:ascii="Arial" w:hAnsi="Arial" w:cs="Arial"/>
        </w:rPr>
        <w:t>,</w:t>
      </w:r>
      <w:r w:rsidR="00F9533E" w:rsidRPr="000A0BFB">
        <w:rPr>
          <w:rFonts w:ascii="Arial" w:hAnsi="Arial" w:cs="Arial"/>
        </w:rPr>
        <w:t xml:space="preserve"> analysis of the sewerage system, separating </w:t>
      </w:r>
      <w:r w:rsidR="0082090E" w:rsidRPr="000A0BFB">
        <w:rPr>
          <w:rFonts w:ascii="Arial" w:hAnsi="Arial" w:cs="Arial"/>
        </w:rPr>
        <w:t>streams</w:t>
      </w:r>
      <w:r w:rsidR="00F9533E" w:rsidRPr="000A0BFB">
        <w:rPr>
          <w:rFonts w:ascii="Arial" w:hAnsi="Arial" w:cs="Arial"/>
        </w:rPr>
        <w:t xml:space="preserve"> from drainage for improved function of the treatment equipment, installation of a simple and cost-effective mechanical system, and the construction of a retention system to prevent storm water overflow</w:t>
      </w:r>
      <w:r w:rsidR="00774D07" w:rsidRPr="000A0BFB">
        <w:rPr>
          <w:rFonts w:ascii="Arial" w:hAnsi="Arial" w:cs="Arial"/>
        </w:rPr>
        <w:t>. T</w:t>
      </w:r>
      <w:r w:rsidR="00D20E3E" w:rsidRPr="000A0BFB">
        <w:rPr>
          <w:rFonts w:ascii="Arial" w:hAnsi="Arial" w:cs="Arial"/>
        </w:rPr>
        <w:t xml:space="preserve">he Commission’s recommendations </w:t>
      </w:r>
      <w:r w:rsidR="00774D07" w:rsidRPr="000A0BFB">
        <w:rPr>
          <w:rFonts w:ascii="Arial" w:hAnsi="Arial" w:cs="Arial"/>
        </w:rPr>
        <w:t>were not adopted and the commission later disbanded</w:t>
      </w:r>
      <w:r w:rsidR="002950F0" w:rsidRPr="000A0BFB">
        <w:rPr>
          <w:rFonts w:ascii="Arial" w:hAnsi="Arial" w:cs="Arial"/>
        </w:rPr>
        <w:t>.</w:t>
      </w:r>
      <w:r w:rsidR="00D20E3E" w:rsidRPr="000A0BFB">
        <w:rPr>
          <w:rStyle w:val="FootnoteReference"/>
          <w:rFonts w:ascii="Arial" w:hAnsi="Arial" w:cs="Arial"/>
        </w:rPr>
        <w:footnoteReference w:id="49"/>
      </w:r>
    </w:p>
    <w:p w:rsidR="00CD1D20" w:rsidRPr="000A0BFB" w:rsidRDefault="00D20E3E" w:rsidP="00F2332A">
      <w:pPr>
        <w:jc w:val="both"/>
        <w:rPr>
          <w:rFonts w:ascii="Arial" w:eastAsia="Times New Roman" w:hAnsi="Arial" w:cs="Arial"/>
        </w:rPr>
      </w:pPr>
      <w:r w:rsidRPr="000A0BFB">
        <w:rPr>
          <w:rFonts w:ascii="Arial" w:hAnsi="Arial" w:cs="Arial"/>
        </w:rPr>
        <w:t xml:space="preserve">Overall, many </w:t>
      </w:r>
      <w:r w:rsidR="00774D07" w:rsidRPr="000A0BFB">
        <w:rPr>
          <w:rFonts w:ascii="Arial" w:hAnsi="Arial" w:cs="Arial"/>
        </w:rPr>
        <w:t xml:space="preserve">felt </w:t>
      </w:r>
      <w:r w:rsidRPr="000A0BFB">
        <w:rPr>
          <w:rFonts w:ascii="Arial" w:hAnsi="Arial" w:cs="Arial"/>
        </w:rPr>
        <w:t xml:space="preserve">that the project </w:t>
      </w:r>
      <w:r w:rsidR="00774D07" w:rsidRPr="000A0BFB">
        <w:rPr>
          <w:rFonts w:ascii="Arial" w:hAnsi="Arial" w:cs="Arial"/>
        </w:rPr>
        <w:t xml:space="preserve">was </w:t>
      </w:r>
      <w:r w:rsidRPr="000A0BFB">
        <w:rPr>
          <w:rFonts w:ascii="Arial" w:hAnsi="Arial" w:cs="Arial"/>
        </w:rPr>
        <w:t xml:space="preserve">oversized and overpriced and </w:t>
      </w:r>
      <w:r w:rsidR="00774D07" w:rsidRPr="000A0BFB">
        <w:rPr>
          <w:rFonts w:ascii="Arial" w:hAnsi="Arial" w:cs="Arial"/>
        </w:rPr>
        <w:t xml:space="preserve">had </w:t>
      </w:r>
      <w:r w:rsidRPr="000A0BFB">
        <w:rPr>
          <w:rFonts w:ascii="Arial" w:hAnsi="Arial" w:cs="Arial"/>
        </w:rPr>
        <w:t xml:space="preserve">done more damage than good for the residents of Zagreb. </w:t>
      </w:r>
      <w:r w:rsidR="00360010" w:rsidRPr="000A0BFB">
        <w:rPr>
          <w:rFonts w:ascii="Arial" w:hAnsi="Arial" w:cs="Arial"/>
        </w:rPr>
        <w:t xml:space="preserve">Tariff rates for both industrial and households have increased by more than 200% since 2004, which has generated a lot of </w:t>
      </w:r>
      <w:r w:rsidR="00AC38F8" w:rsidRPr="000A0BFB">
        <w:rPr>
          <w:rFonts w:ascii="Arial" w:hAnsi="Arial" w:cs="Arial"/>
        </w:rPr>
        <w:t xml:space="preserve">discontent with the local community. </w:t>
      </w:r>
      <w:r w:rsidRPr="000A0BFB">
        <w:rPr>
          <w:rFonts w:ascii="Arial" w:hAnsi="Arial" w:cs="Arial"/>
        </w:rPr>
        <w:t xml:space="preserve">When industrial customers refused to pay increased fees to cover some of the project costs, city authorities turned to taxpayers to fill this gap. </w:t>
      </w:r>
    </w:p>
    <w:p w:rsidR="00FE3F25" w:rsidRDefault="00372BEC" w:rsidP="00F2332A">
      <w:pPr>
        <w:jc w:val="both"/>
        <w:rPr>
          <w:rFonts w:ascii="Arial" w:hAnsi="Arial" w:cs="Arial"/>
          <w:b/>
          <w:i/>
        </w:rPr>
      </w:pPr>
      <w:r w:rsidRPr="00C04A46">
        <w:rPr>
          <w:rFonts w:ascii="Arial" w:hAnsi="Arial" w:cs="Arial"/>
          <w:b/>
          <w:i/>
        </w:rPr>
        <w:t xml:space="preserve">Key Weaknesses </w:t>
      </w:r>
    </w:p>
    <w:p w:rsidR="00E5129E" w:rsidRPr="000A0BFB" w:rsidRDefault="00D20E3E" w:rsidP="00F2332A">
      <w:pPr>
        <w:jc w:val="both"/>
        <w:rPr>
          <w:rFonts w:ascii="Arial" w:eastAsia="Times New Roman" w:hAnsi="Arial" w:cs="Arial"/>
        </w:rPr>
      </w:pPr>
      <w:r w:rsidRPr="000A0BFB">
        <w:rPr>
          <w:rFonts w:ascii="Arial" w:eastAsia="Times New Roman" w:hAnsi="Arial" w:cs="Arial"/>
          <w:b/>
          <w:i/>
        </w:rPr>
        <w:t>Lack of Transparency:</w:t>
      </w:r>
      <w:r w:rsidRPr="000A0BFB">
        <w:rPr>
          <w:rFonts w:ascii="Arial" w:eastAsia="Times New Roman" w:hAnsi="Arial" w:cs="Arial"/>
        </w:rPr>
        <w:t xml:space="preserve"> This project is a</w:t>
      </w:r>
      <w:r w:rsidR="004E4619" w:rsidRPr="000A0BFB">
        <w:rPr>
          <w:rFonts w:ascii="Arial" w:eastAsia="Times New Roman" w:hAnsi="Arial" w:cs="Arial"/>
        </w:rPr>
        <w:t xml:space="preserve"> good </w:t>
      </w:r>
      <w:r w:rsidRPr="000A0BFB">
        <w:rPr>
          <w:rFonts w:ascii="Arial" w:eastAsia="Times New Roman" w:hAnsi="Arial" w:cs="Arial"/>
        </w:rPr>
        <w:t xml:space="preserve">example of </w:t>
      </w:r>
      <w:r w:rsidR="004E4619" w:rsidRPr="000A0BFB">
        <w:rPr>
          <w:rFonts w:ascii="Arial" w:eastAsia="Times New Roman" w:hAnsi="Arial" w:cs="Arial"/>
        </w:rPr>
        <w:t xml:space="preserve">a situation where </w:t>
      </w:r>
      <w:r w:rsidRPr="000A0BFB">
        <w:rPr>
          <w:rFonts w:ascii="Arial" w:eastAsia="Times New Roman" w:hAnsi="Arial" w:cs="Arial"/>
        </w:rPr>
        <w:t>very low levels of transparency</w:t>
      </w:r>
      <w:r w:rsidR="00E5129E" w:rsidRPr="000A0BFB">
        <w:rPr>
          <w:rFonts w:ascii="Arial" w:eastAsia="Times New Roman" w:hAnsi="Arial" w:cs="Arial"/>
        </w:rPr>
        <w:t xml:space="preserve"> resul</w:t>
      </w:r>
      <w:r w:rsidR="004E4619" w:rsidRPr="000A0BFB">
        <w:rPr>
          <w:rFonts w:ascii="Arial" w:eastAsia="Times New Roman" w:hAnsi="Arial" w:cs="Arial"/>
        </w:rPr>
        <w:t>ted</w:t>
      </w:r>
      <w:r w:rsidR="00E5129E" w:rsidRPr="000A0BFB">
        <w:rPr>
          <w:rFonts w:ascii="Arial" w:eastAsia="Times New Roman" w:hAnsi="Arial" w:cs="Arial"/>
        </w:rPr>
        <w:t xml:space="preserve"> in a lack of community buy-in</w:t>
      </w:r>
      <w:r w:rsidR="004E4619" w:rsidRPr="000A0BFB">
        <w:rPr>
          <w:rFonts w:ascii="Arial" w:eastAsia="Times New Roman" w:hAnsi="Arial" w:cs="Arial"/>
        </w:rPr>
        <w:t xml:space="preserve"> and suspicion</w:t>
      </w:r>
      <w:r w:rsidRPr="000A0BFB">
        <w:rPr>
          <w:rFonts w:ascii="Arial" w:eastAsia="Times New Roman" w:hAnsi="Arial" w:cs="Arial"/>
        </w:rPr>
        <w:t xml:space="preserve">. Though there is little public information into the actual risk and cost calculations </w:t>
      </w:r>
      <w:r w:rsidR="004E4619" w:rsidRPr="000A0BFB">
        <w:rPr>
          <w:rFonts w:ascii="Arial" w:eastAsia="Times New Roman" w:hAnsi="Arial" w:cs="Arial"/>
        </w:rPr>
        <w:t xml:space="preserve">undertaken by ZOV, the financial institutions and the City council, </w:t>
      </w:r>
      <w:r w:rsidRPr="000A0BFB">
        <w:rPr>
          <w:rFonts w:ascii="Arial" w:eastAsia="Times New Roman" w:hAnsi="Arial" w:cs="Arial"/>
        </w:rPr>
        <w:t xml:space="preserve">it is clear that the </w:t>
      </w:r>
      <w:r w:rsidR="004E4619" w:rsidRPr="000A0BFB">
        <w:rPr>
          <w:rFonts w:ascii="Arial" w:eastAsia="Times New Roman" w:hAnsi="Arial" w:cs="Arial"/>
        </w:rPr>
        <w:t xml:space="preserve">Zagreb </w:t>
      </w:r>
      <w:r w:rsidRPr="000A0BFB">
        <w:rPr>
          <w:rFonts w:ascii="Arial" w:eastAsia="Times New Roman" w:hAnsi="Arial" w:cs="Arial"/>
        </w:rPr>
        <w:t>City Council failed to effectively communicate the rationale behind their risk allocation decisions</w:t>
      </w:r>
      <w:r w:rsidR="004E4619" w:rsidRPr="000A0BFB">
        <w:rPr>
          <w:rFonts w:ascii="Arial" w:eastAsia="Times New Roman" w:hAnsi="Arial" w:cs="Arial"/>
        </w:rPr>
        <w:t xml:space="preserve"> with the affected stakeholders</w:t>
      </w:r>
      <w:r w:rsidRPr="000A0BFB">
        <w:rPr>
          <w:rFonts w:ascii="Arial" w:eastAsia="Times New Roman" w:hAnsi="Arial" w:cs="Arial"/>
        </w:rPr>
        <w:t xml:space="preserve">. Similarly, it is of little surprise that the lack of satisfactory explanation to justify the increasing project costs raises suspicion among residents. </w:t>
      </w:r>
    </w:p>
    <w:p w:rsidR="00534122" w:rsidRPr="000A0BFB" w:rsidRDefault="004D1010" w:rsidP="00F2332A">
      <w:pPr>
        <w:jc w:val="both"/>
        <w:rPr>
          <w:rFonts w:ascii="Arial" w:hAnsi="Arial" w:cs="Arial"/>
        </w:rPr>
      </w:pPr>
      <w:r>
        <w:rPr>
          <w:rFonts w:ascii="Arial" w:eastAsia="Times New Roman" w:hAnsi="Arial" w:cs="Arial"/>
          <w:b/>
          <w:i/>
        </w:rPr>
        <w:t>Stakeholder Participation and Coordination</w:t>
      </w:r>
      <w:r w:rsidR="00E5129E" w:rsidRPr="000A0BFB">
        <w:rPr>
          <w:rFonts w:ascii="Arial" w:eastAsia="Times New Roman" w:hAnsi="Arial" w:cs="Arial"/>
          <w:b/>
          <w:i/>
        </w:rPr>
        <w:t>:</w:t>
      </w:r>
      <w:r w:rsidR="00E5129E" w:rsidRPr="000A0BFB">
        <w:rPr>
          <w:rFonts w:ascii="Arial" w:eastAsia="Times New Roman" w:hAnsi="Arial" w:cs="Arial"/>
        </w:rPr>
        <w:t xml:space="preserve"> It seems that this project was designed based on a poor initial assessment of the existing systems, stakeholders, and willingness of customers to pay. The poor assessment led to an ill-fitting design, cost structure and risk allocation. </w:t>
      </w:r>
    </w:p>
    <w:p w:rsidR="00105D96" w:rsidRPr="000A0BFB" w:rsidRDefault="00105D96" w:rsidP="00E5129E">
      <w:pPr>
        <w:rPr>
          <w:rFonts w:ascii="Arial" w:hAnsi="Arial" w:cs="Arial"/>
        </w:rPr>
      </w:pPr>
    </w:p>
    <w:p w:rsidR="00105D96" w:rsidRPr="000A0BFB" w:rsidRDefault="00105D96" w:rsidP="00E5129E">
      <w:pPr>
        <w:rPr>
          <w:rFonts w:ascii="Arial" w:hAnsi="Arial" w:cs="Arial"/>
        </w:rPr>
      </w:pPr>
    </w:p>
    <w:p w:rsidR="00876424" w:rsidRPr="000A0BFB" w:rsidRDefault="00C138E2" w:rsidP="00C74340">
      <w:pPr>
        <w:rPr>
          <w:rFonts w:ascii="Arial" w:hAnsi="Arial" w:cs="Arial"/>
          <w:b/>
        </w:rPr>
      </w:pPr>
      <w:r w:rsidRPr="000A0BFB">
        <w:rPr>
          <w:rFonts w:ascii="Arial" w:hAnsi="Arial" w:cs="Arial"/>
          <w:b/>
        </w:rPr>
        <w:br w:type="page"/>
      </w:r>
    </w:p>
    <w:tbl>
      <w:tblPr>
        <w:tblpPr w:leftFromText="180" w:rightFromText="180" w:bottomFromText="155" w:vertAnchor="text" w:horzAnchor="margin" w:tblpY="232"/>
        <w:tblW w:w="9659" w:type="dxa"/>
        <w:shd w:val="clear" w:color="auto" w:fill="EDE8CB"/>
        <w:tblCellMar>
          <w:left w:w="0" w:type="dxa"/>
          <w:right w:w="0" w:type="dxa"/>
        </w:tblCellMar>
        <w:tblLook w:val="04A0" w:firstRow="1" w:lastRow="0" w:firstColumn="1" w:lastColumn="0" w:noHBand="0" w:noVBand="1"/>
      </w:tblPr>
      <w:tblGrid>
        <w:gridCol w:w="9659"/>
      </w:tblGrid>
      <w:tr w:rsidR="00C138E2" w:rsidRPr="000A0BFB" w:rsidTr="00A6265E">
        <w:trPr>
          <w:trHeight w:val="990"/>
        </w:trPr>
        <w:tc>
          <w:tcPr>
            <w:tcW w:w="9659" w:type="dxa"/>
            <w:tcBorders>
              <w:top w:val="nil"/>
              <w:left w:val="nil"/>
              <w:bottom w:val="single" w:sz="18" w:space="0" w:color="28AADA"/>
              <w:right w:val="nil"/>
            </w:tcBorders>
            <w:shd w:val="clear" w:color="auto" w:fill="002776"/>
            <w:tcMar>
              <w:top w:w="0" w:type="dxa"/>
              <w:left w:w="115" w:type="dxa"/>
              <w:bottom w:w="0" w:type="dxa"/>
              <w:right w:w="115" w:type="dxa"/>
            </w:tcMar>
            <w:hideMark/>
          </w:tcPr>
          <w:p w:rsidR="00C138E2" w:rsidRPr="000A0BFB" w:rsidRDefault="00937D3C" w:rsidP="00A415BE">
            <w:pPr>
              <w:spacing w:before="120"/>
              <w:rPr>
                <w:rFonts w:ascii="Arial" w:eastAsia="Calibri" w:hAnsi="Arial" w:cs="Arial"/>
                <w:b/>
                <w:bCs/>
                <w:sz w:val="20"/>
                <w:szCs w:val="20"/>
              </w:rPr>
            </w:pPr>
            <w:r w:rsidRPr="000A0BFB">
              <w:rPr>
                <w:rFonts w:ascii="Arial" w:eastAsia="Calibri" w:hAnsi="Arial" w:cs="Arial"/>
                <w:b/>
                <w:bCs/>
                <w:sz w:val="20"/>
                <w:szCs w:val="20"/>
              </w:rPr>
              <w:t xml:space="preserve">INFOBOX 3: </w:t>
            </w:r>
            <w:r w:rsidR="00C138E2" w:rsidRPr="000A0BFB">
              <w:rPr>
                <w:rFonts w:ascii="Arial" w:eastAsia="Calibri" w:hAnsi="Arial" w:cs="Arial"/>
                <w:b/>
                <w:bCs/>
                <w:sz w:val="20"/>
                <w:szCs w:val="20"/>
              </w:rPr>
              <w:t xml:space="preserve">An Example in Inclusive Design </w:t>
            </w:r>
          </w:p>
          <w:p w:rsidR="00C138E2" w:rsidRPr="000A0BFB" w:rsidRDefault="00C138E2" w:rsidP="00F2332A">
            <w:pPr>
              <w:spacing w:before="120"/>
              <w:rPr>
                <w:rFonts w:ascii="Arial" w:eastAsia="Calibri" w:hAnsi="Arial" w:cs="Arial"/>
                <w:b/>
                <w:bCs/>
                <w:szCs w:val="20"/>
              </w:rPr>
            </w:pPr>
            <w:r w:rsidRPr="000A0BFB">
              <w:rPr>
                <w:rFonts w:ascii="Arial" w:eastAsia="Calibri" w:hAnsi="Arial" w:cs="Arial"/>
                <w:b/>
                <w:bCs/>
                <w:sz w:val="20"/>
                <w:szCs w:val="20"/>
              </w:rPr>
              <w:t>The Metro Manila Case Study</w:t>
            </w:r>
          </w:p>
        </w:tc>
      </w:tr>
      <w:tr w:rsidR="00C138E2" w:rsidRPr="000A0BFB" w:rsidTr="00A415BE">
        <w:trPr>
          <w:trHeight w:val="3548"/>
        </w:trPr>
        <w:tc>
          <w:tcPr>
            <w:tcW w:w="9659" w:type="dxa"/>
            <w:tcBorders>
              <w:top w:val="nil"/>
              <w:left w:val="nil"/>
              <w:bottom w:val="single" w:sz="18" w:space="0" w:color="28AADA"/>
              <w:right w:val="nil"/>
            </w:tcBorders>
            <w:shd w:val="clear" w:color="auto" w:fill="auto"/>
            <w:tcMar>
              <w:top w:w="0" w:type="dxa"/>
              <w:left w:w="115" w:type="dxa"/>
              <w:bottom w:w="0" w:type="dxa"/>
              <w:right w:w="115" w:type="dxa"/>
            </w:tcMar>
            <w:vAlign w:val="center"/>
            <w:hideMark/>
          </w:tcPr>
          <w:p w:rsidR="00C138E2" w:rsidRPr="000A0BFB" w:rsidRDefault="00C138E2" w:rsidP="00C138E2">
            <w:pPr>
              <w:shd w:val="clear" w:color="auto" w:fill="FFFFFF" w:themeFill="background1"/>
              <w:rPr>
                <w:rFonts w:ascii="Arial" w:hAnsi="Arial" w:cs="Arial"/>
                <w:sz w:val="20"/>
                <w:szCs w:val="20"/>
              </w:rPr>
            </w:pPr>
            <w:r w:rsidRPr="000A0BFB">
              <w:rPr>
                <w:rFonts w:ascii="Arial" w:hAnsi="Arial" w:cs="Arial"/>
                <w:sz w:val="20"/>
                <w:szCs w:val="20"/>
              </w:rPr>
              <w:t xml:space="preserve">Serving low-income areas is a common challenge among both water and wastewater PPPs due to several constraints, including the fact that these areas are often unplanned, have weak infrastructure (unpaved roads, leaky pipes), the low ability and/or willingness of customers to pay for services, a and the need for public education due to a prevalent distrust of the private sector, among others. As a result, poor customers are often completely left out of PPP design considerations. </w:t>
            </w:r>
          </w:p>
          <w:p w:rsidR="00C138E2" w:rsidRPr="000A0BFB" w:rsidRDefault="00C138E2" w:rsidP="00C138E2">
            <w:pPr>
              <w:shd w:val="clear" w:color="auto" w:fill="FFFFFF" w:themeFill="background1"/>
              <w:rPr>
                <w:rFonts w:ascii="Arial" w:hAnsi="Arial" w:cs="Arial"/>
                <w:sz w:val="20"/>
                <w:szCs w:val="20"/>
              </w:rPr>
            </w:pPr>
            <w:r w:rsidRPr="000A0BFB">
              <w:rPr>
                <w:rFonts w:ascii="Arial" w:hAnsi="Arial" w:cs="Arial"/>
                <w:sz w:val="20"/>
                <w:szCs w:val="20"/>
              </w:rPr>
              <w:t xml:space="preserve">One exception is the Manila </w:t>
            </w:r>
            <w:r w:rsidRPr="000A0BFB">
              <w:rPr>
                <w:rStyle w:val="Emphasis"/>
                <w:rFonts w:ascii="Arial" w:hAnsi="Arial" w:cs="Arial"/>
                <w:bCs/>
                <w:i w:val="0"/>
                <w:iCs w:val="0"/>
                <w:sz w:val="20"/>
                <w:shd w:val="clear" w:color="auto" w:fill="FFFFFF"/>
              </w:rPr>
              <w:t>Metropolitan</w:t>
            </w:r>
            <w:r w:rsidRPr="000A0BFB">
              <w:rPr>
                <w:rStyle w:val="apple-converted-space"/>
                <w:rFonts w:ascii="Arial" w:hAnsi="Arial" w:cs="Arial"/>
                <w:sz w:val="20"/>
                <w:shd w:val="clear" w:color="auto" w:fill="FFFFFF"/>
              </w:rPr>
              <w:t> </w:t>
            </w:r>
            <w:r w:rsidRPr="000A0BFB">
              <w:rPr>
                <w:rFonts w:ascii="Arial" w:hAnsi="Arial" w:cs="Arial"/>
                <w:sz w:val="20"/>
                <w:shd w:val="clear" w:color="auto" w:fill="FFFFFF"/>
              </w:rPr>
              <w:t>Waterworks</w:t>
            </w:r>
            <w:r w:rsidRPr="000A0BFB">
              <w:rPr>
                <w:rStyle w:val="apple-converted-space"/>
                <w:rFonts w:ascii="Arial" w:hAnsi="Arial" w:cs="Arial"/>
                <w:sz w:val="20"/>
                <w:shd w:val="clear" w:color="auto" w:fill="FFFFFF"/>
              </w:rPr>
              <w:t> </w:t>
            </w:r>
            <w:r w:rsidRPr="000A0BFB">
              <w:rPr>
                <w:rStyle w:val="Emphasis"/>
                <w:rFonts w:ascii="Arial" w:hAnsi="Arial" w:cs="Arial"/>
                <w:bCs/>
                <w:i w:val="0"/>
                <w:iCs w:val="0"/>
                <w:sz w:val="20"/>
                <w:shd w:val="clear" w:color="auto" w:fill="FFFFFF"/>
              </w:rPr>
              <w:t>and Sewerage</w:t>
            </w:r>
            <w:r w:rsidRPr="000A0BFB">
              <w:rPr>
                <w:rStyle w:val="apple-converted-space"/>
                <w:rFonts w:ascii="Arial" w:hAnsi="Arial" w:cs="Arial"/>
                <w:sz w:val="20"/>
                <w:shd w:val="clear" w:color="auto" w:fill="FFFFFF"/>
              </w:rPr>
              <w:t> </w:t>
            </w:r>
            <w:r w:rsidRPr="000A0BFB">
              <w:rPr>
                <w:rFonts w:ascii="Arial" w:hAnsi="Arial" w:cs="Arial"/>
                <w:sz w:val="20"/>
                <w:shd w:val="clear" w:color="auto" w:fill="FFFFFF"/>
              </w:rPr>
              <w:t>System (</w:t>
            </w:r>
            <w:r w:rsidRPr="000A0BFB">
              <w:rPr>
                <w:rStyle w:val="Emphasis"/>
                <w:rFonts w:ascii="Arial" w:hAnsi="Arial" w:cs="Arial"/>
                <w:bCs/>
                <w:i w:val="0"/>
                <w:iCs w:val="0"/>
                <w:sz w:val="20"/>
                <w:shd w:val="clear" w:color="auto" w:fill="FFFFFF"/>
              </w:rPr>
              <w:t>MWSS</w:t>
            </w:r>
            <w:r w:rsidRPr="000A0BFB">
              <w:rPr>
                <w:rFonts w:ascii="Arial" w:hAnsi="Arial" w:cs="Arial"/>
                <w:sz w:val="20"/>
                <w:shd w:val="clear" w:color="auto" w:fill="FFFFFF"/>
              </w:rPr>
              <w:t>)</w:t>
            </w:r>
            <w:r w:rsidRPr="000A0BFB">
              <w:rPr>
                <w:rFonts w:ascii="Arial" w:hAnsi="Arial" w:cs="Arial"/>
                <w:sz w:val="20"/>
                <w:szCs w:val="20"/>
              </w:rPr>
              <w:t xml:space="preserve">PPP, a large concession agreement with specific language on how to make services available to the poor. The proactive pro-poor considerations were likely due to the very high-density populations of low-income customers in the areas affected by the concession. In this case, there would have likely been severe political consequences for not addressing these customers. This is a large reason why many PPPs in urban areas do not succeed (ex: </w:t>
            </w:r>
            <w:r w:rsidR="002950F0" w:rsidRPr="000A0BFB">
              <w:rPr>
                <w:rFonts w:ascii="Arial" w:hAnsi="Arial" w:cs="Arial"/>
                <w:sz w:val="20"/>
                <w:szCs w:val="20"/>
              </w:rPr>
              <w:t>Mumbai</w:t>
            </w:r>
            <w:r w:rsidRPr="000A0BFB">
              <w:rPr>
                <w:rFonts w:ascii="Arial" w:hAnsi="Arial" w:cs="Arial"/>
                <w:sz w:val="20"/>
                <w:szCs w:val="20"/>
              </w:rPr>
              <w:t xml:space="preserve"> did not include poor and did not get political support).</w:t>
            </w:r>
          </w:p>
          <w:p w:rsidR="00C138E2" w:rsidRPr="000A0BFB" w:rsidRDefault="00C138E2" w:rsidP="00C138E2">
            <w:pPr>
              <w:shd w:val="clear" w:color="auto" w:fill="FFFFFF" w:themeFill="background1"/>
              <w:rPr>
                <w:rFonts w:ascii="Arial" w:hAnsi="Arial" w:cs="Arial"/>
                <w:sz w:val="20"/>
                <w:szCs w:val="20"/>
              </w:rPr>
            </w:pPr>
            <w:r w:rsidRPr="000A0BFB">
              <w:rPr>
                <w:rFonts w:ascii="Arial" w:hAnsi="Arial" w:cs="Arial"/>
                <w:sz w:val="20"/>
                <w:szCs w:val="20"/>
              </w:rPr>
              <w:t>Therefore, the Manila concession included specific clauses that addressed the needs of poor customers, which became a large success factor.  PPPs like the Manila concession can be used to increase service coverage of poor areas, possibly using an innovative service approach incentivizing private providers to service a poor area in exchange for the right to service a wealthier area. For urban sanitation, it may be even better to promote poor inclusive initiatives rather than pro-poor investments so that plans and investments are city-wide</w:t>
            </w:r>
          </w:p>
          <w:p w:rsidR="00C138E2" w:rsidRPr="000A0BFB" w:rsidRDefault="00C138E2" w:rsidP="00C138E2">
            <w:pPr>
              <w:shd w:val="clear" w:color="auto" w:fill="FFFFFF" w:themeFill="background1"/>
              <w:rPr>
                <w:rFonts w:ascii="Arial" w:hAnsi="Arial" w:cs="Arial"/>
                <w:sz w:val="20"/>
                <w:szCs w:val="20"/>
              </w:rPr>
            </w:pPr>
            <w:r w:rsidRPr="000A0BFB">
              <w:rPr>
                <w:rFonts w:ascii="Arial" w:hAnsi="Arial" w:cs="Arial"/>
                <w:sz w:val="20"/>
                <w:szCs w:val="20"/>
              </w:rPr>
              <w:t xml:space="preserve">Regardless of what they are, features of an effective pro-poor PPP for basic urban services need to be considered and built in from the start. Specific lessons and insights from the Philippines project include: </w:t>
            </w:r>
          </w:p>
          <w:p w:rsidR="00C138E2" w:rsidRPr="000A0BFB" w:rsidRDefault="00C138E2" w:rsidP="00C138E2">
            <w:pPr>
              <w:pStyle w:val="ListParagraph"/>
              <w:numPr>
                <w:ilvl w:val="0"/>
                <w:numId w:val="16"/>
              </w:numPr>
              <w:shd w:val="clear" w:color="auto" w:fill="FFFFFF" w:themeFill="background1"/>
              <w:rPr>
                <w:rFonts w:ascii="Arial" w:hAnsi="Arial" w:cs="Arial"/>
                <w:sz w:val="20"/>
                <w:szCs w:val="20"/>
              </w:rPr>
            </w:pPr>
            <w:r w:rsidRPr="000A0BFB">
              <w:rPr>
                <w:rFonts w:ascii="Arial" w:hAnsi="Arial" w:cs="Arial"/>
                <w:sz w:val="20"/>
                <w:szCs w:val="20"/>
              </w:rPr>
              <w:t>Septage management and sewerage tariffs should be pro-poor: combined water supply and sanitation fees should generally not exceed 5% of the average monthly income of residents;</w:t>
            </w:r>
          </w:p>
          <w:p w:rsidR="00C138E2" w:rsidRPr="000A0BFB" w:rsidRDefault="00C138E2" w:rsidP="00C138E2">
            <w:pPr>
              <w:pStyle w:val="ListParagraph"/>
              <w:numPr>
                <w:ilvl w:val="0"/>
                <w:numId w:val="16"/>
              </w:numPr>
              <w:shd w:val="clear" w:color="auto" w:fill="FFFFFF" w:themeFill="background1"/>
              <w:rPr>
                <w:rFonts w:ascii="Arial" w:hAnsi="Arial" w:cs="Arial"/>
                <w:sz w:val="20"/>
                <w:szCs w:val="20"/>
              </w:rPr>
            </w:pPr>
            <w:r w:rsidRPr="000A0BFB">
              <w:rPr>
                <w:rFonts w:ascii="Arial" w:hAnsi="Arial" w:cs="Arial"/>
                <w:sz w:val="20"/>
                <w:szCs w:val="20"/>
              </w:rPr>
              <w:t xml:space="preserve">Commercial, industrial, institutional, and agricultural dischargers should pay proportionally more for sanitation services based on the volume and pressure of the wastewater discharged to encourage conservation and pre-treatment of high pressure wastewater. </w:t>
            </w:r>
          </w:p>
          <w:p w:rsidR="00C138E2" w:rsidRPr="000A0BFB" w:rsidRDefault="00C138E2" w:rsidP="00C138E2">
            <w:pPr>
              <w:pStyle w:val="ListParagraph"/>
              <w:numPr>
                <w:ilvl w:val="0"/>
                <w:numId w:val="16"/>
              </w:numPr>
              <w:shd w:val="clear" w:color="auto" w:fill="FFFFFF" w:themeFill="background1"/>
              <w:rPr>
                <w:rFonts w:ascii="Arial" w:hAnsi="Arial" w:cs="Arial"/>
                <w:sz w:val="20"/>
                <w:szCs w:val="20"/>
              </w:rPr>
            </w:pPr>
            <w:r w:rsidRPr="000A0BFB">
              <w:rPr>
                <w:rFonts w:ascii="Arial" w:hAnsi="Arial" w:cs="Arial"/>
                <w:sz w:val="20"/>
                <w:szCs w:val="20"/>
              </w:rPr>
              <w:t xml:space="preserve">Homeowners with larger septic tanks that require multiple loads for desludging should pay more for desludging services than homes with smaller tanks requiring only one load. </w:t>
            </w:r>
          </w:p>
          <w:p w:rsidR="00C138E2" w:rsidRPr="000A0BFB" w:rsidRDefault="00C138E2" w:rsidP="00C138E2">
            <w:pPr>
              <w:pStyle w:val="ListParagraph"/>
              <w:numPr>
                <w:ilvl w:val="0"/>
                <w:numId w:val="16"/>
              </w:numPr>
              <w:shd w:val="clear" w:color="auto" w:fill="FFFFFF" w:themeFill="background1"/>
              <w:rPr>
                <w:rFonts w:ascii="Arial" w:hAnsi="Arial" w:cs="Arial"/>
                <w:sz w:val="20"/>
                <w:szCs w:val="20"/>
              </w:rPr>
            </w:pPr>
            <w:r w:rsidRPr="000A0BFB">
              <w:rPr>
                <w:rFonts w:ascii="Arial" w:hAnsi="Arial" w:cs="Arial"/>
                <w:sz w:val="20"/>
                <w:szCs w:val="20"/>
              </w:rPr>
              <w:t>When possible, septage tariffs should be structured so that there is a small surplus above full cost recovery. This can be used to build up a fund for future sewerage services or can be used by the local implementer to provide related services to the poor, including constructing and updating septic tanks and providing emergency response to septage spills as needed.</w:t>
            </w:r>
          </w:p>
          <w:p w:rsidR="00C138E2" w:rsidRPr="000A0BFB" w:rsidRDefault="00C138E2" w:rsidP="00A415BE">
            <w:pPr>
              <w:rPr>
                <w:rFonts w:ascii="Arial" w:eastAsia="Calibri" w:hAnsi="Arial" w:cs="Arial"/>
                <w:i/>
                <w:iCs/>
                <w:color w:val="002776"/>
              </w:rPr>
            </w:pPr>
          </w:p>
        </w:tc>
      </w:tr>
    </w:tbl>
    <w:p w:rsidR="00C138E2" w:rsidRPr="000A0BFB" w:rsidRDefault="00C138E2" w:rsidP="00C74340">
      <w:pPr>
        <w:rPr>
          <w:rFonts w:ascii="Arial" w:hAnsi="Arial" w:cs="Arial"/>
          <w:b/>
        </w:rPr>
      </w:pPr>
    </w:p>
    <w:p w:rsidR="00534122" w:rsidRPr="000A0BFB" w:rsidRDefault="0001678B">
      <w:pPr>
        <w:pStyle w:val="Heading1"/>
        <w:rPr>
          <w:rFonts w:ascii="Arial" w:hAnsi="Arial" w:cs="Arial"/>
          <w:color w:val="002060"/>
          <w:sz w:val="24"/>
          <w:szCs w:val="24"/>
        </w:rPr>
      </w:pPr>
      <w:r w:rsidRPr="000A0BFB">
        <w:rPr>
          <w:rFonts w:ascii="Arial" w:hAnsi="Arial" w:cs="Arial"/>
          <w:color w:val="002060"/>
          <w:sz w:val="24"/>
          <w:szCs w:val="24"/>
        </w:rPr>
        <w:br w:type="page"/>
      </w:r>
      <w:bookmarkStart w:id="18" w:name="_Toc404073801"/>
      <w:r w:rsidR="00534122" w:rsidRPr="000A0BFB">
        <w:rPr>
          <w:rFonts w:ascii="Arial" w:hAnsi="Arial" w:cs="Arial"/>
          <w:color w:val="002060"/>
          <w:sz w:val="24"/>
          <w:szCs w:val="24"/>
        </w:rPr>
        <w:t xml:space="preserve">Summary of Key </w:t>
      </w:r>
      <w:r w:rsidR="00D95691">
        <w:rPr>
          <w:rFonts w:ascii="Arial" w:hAnsi="Arial" w:cs="Arial"/>
          <w:color w:val="002060"/>
          <w:sz w:val="24"/>
          <w:szCs w:val="24"/>
        </w:rPr>
        <w:t xml:space="preserve">Success </w:t>
      </w:r>
      <w:r w:rsidR="00534122" w:rsidRPr="000A0BFB">
        <w:rPr>
          <w:rFonts w:ascii="Arial" w:hAnsi="Arial" w:cs="Arial"/>
          <w:color w:val="002060"/>
          <w:sz w:val="24"/>
          <w:szCs w:val="24"/>
        </w:rPr>
        <w:t>Factors</w:t>
      </w:r>
      <w:bookmarkEnd w:id="18"/>
    </w:p>
    <w:p w:rsidR="00534122" w:rsidRPr="000A0BFB" w:rsidRDefault="00534122" w:rsidP="00534122">
      <w:pPr>
        <w:rPr>
          <w:rFonts w:ascii="Arial" w:hAnsi="Arial" w:cs="Arial"/>
        </w:rPr>
      </w:pPr>
    </w:p>
    <w:p w:rsidR="00534122" w:rsidRPr="000A0BFB" w:rsidRDefault="00534122" w:rsidP="00F2332A">
      <w:pPr>
        <w:jc w:val="both"/>
        <w:rPr>
          <w:rFonts w:ascii="Arial" w:hAnsi="Arial" w:cs="Arial"/>
        </w:rPr>
      </w:pPr>
      <w:r w:rsidRPr="000A0BFB">
        <w:rPr>
          <w:rFonts w:ascii="Arial" w:hAnsi="Arial" w:cs="Arial"/>
        </w:rPr>
        <w:t>In spite of relatively low private sector participation within the wastewater sector</w:t>
      </w:r>
      <w:r w:rsidR="00D1371B" w:rsidRPr="000A0BFB">
        <w:rPr>
          <w:rFonts w:ascii="Arial" w:hAnsi="Arial" w:cs="Arial"/>
        </w:rPr>
        <w:t xml:space="preserve"> (compared to other sectors such as power</w:t>
      </w:r>
      <w:r w:rsidR="00747693" w:rsidRPr="000A0BFB">
        <w:rPr>
          <w:rFonts w:ascii="Arial" w:hAnsi="Arial" w:cs="Arial"/>
        </w:rPr>
        <w:t xml:space="preserve"> and </w:t>
      </w:r>
      <w:r w:rsidR="006409F5">
        <w:rPr>
          <w:rFonts w:ascii="Arial" w:hAnsi="Arial" w:cs="Arial"/>
        </w:rPr>
        <w:t>transport</w:t>
      </w:r>
      <w:r w:rsidR="00D1371B" w:rsidRPr="000A0BFB">
        <w:rPr>
          <w:rFonts w:ascii="Arial" w:hAnsi="Arial" w:cs="Arial"/>
        </w:rPr>
        <w:t>)</w:t>
      </w:r>
      <w:r w:rsidRPr="000A0BFB">
        <w:rPr>
          <w:rFonts w:ascii="Arial" w:hAnsi="Arial" w:cs="Arial"/>
        </w:rPr>
        <w:t>, we have been able to identify ten cases from around the world that provide some insight into key factors</w:t>
      </w:r>
      <w:r w:rsidR="007F0691">
        <w:rPr>
          <w:rFonts w:ascii="Arial" w:hAnsi="Arial" w:cs="Arial"/>
        </w:rPr>
        <w:t xml:space="preserve"> that drive the success or failure of wastewater and sewage treatment PPPs</w:t>
      </w:r>
      <w:r w:rsidRPr="000A0BFB">
        <w:rPr>
          <w:rFonts w:ascii="Arial" w:hAnsi="Arial" w:cs="Arial"/>
        </w:rPr>
        <w:t xml:space="preserve">. Many of the highlighted PPPs have been </w:t>
      </w:r>
      <w:r w:rsidR="009B7E08" w:rsidRPr="000A0BFB">
        <w:rPr>
          <w:rFonts w:ascii="Arial" w:hAnsi="Arial" w:cs="Arial"/>
        </w:rPr>
        <w:t xml:space="preserve">at least partially </w:t>
      </w:r>
      <w:r w:rsidRPr="000A0BFB">
        <w:rPr>
          <w:rFonts w:ascii="Arial" w:hAnsi="Arial" w:cs="Arial"/>
        </w:rPr>
        <w:t>successful</w:t>
      </w:r>
      <w:r w:rsidR="007F0691">
        <w:rPr>
          <w:rFonts w:ascii="Arial" w:hAnsi="Arial" w:cs="Arial"/>
        </w:rPr>
        <w:t xml:space="preserve"> or exhibit indicators of early success</w:t>
      </w:r>
      <w:r w:rsidR="00747693" w:rsidRPr="000A0BFB">
        <w:rPr>
          <w:rFonts w:ascii="Arial" w:hAnsi="Arial" w:cs="Arial"/>
        </w:rPr>
        <w:t>. In</w:t>
      </w:r>
      <w:r w:rsidRPr="000A0BFB">
        <w:rPr>
          <w:rFonts w:ascii="Arial" w:hAnsi="Arial" w:cs="Arial"/>
        </w:rPr>
        <w:t xml:space="preserve"> the case of the Alandur project in India, sewerage access </w:t>
      </w:r>
      <w:r w:rsidR="00747693" w:rsidRPr="000A0BFB">
        <w:rPr>
          <w:rFonts w:ascii="Arial" w:hAnsi="Arial" w:cs="Arial"/>
        </w:rPr>
        <w:t xml:space="preserve">was extended </w:t>
      </w:r>
      <w:r w:rsidRPr="000A0BFB">
        <w:rPr>
          <w:rFonts w:ascii="Arial" w:hAnsi="Arial" w:cs="Arial"/>
        </w:rPr>
        <w:t xml:space="preserve">to an additional 43% of the population, </w:t>
      </w:r>
      <w:r w:rsidR="00747693" w:rsidRPr="000A0BFB">
        <w:rPr>
          <w:rFonts w:ascii="Arial" w:hAnsi="Arial" w:cs="Arial"/>
        </w:rPr>
        <w:t xml:space="preserve">there was a </w:t>
      </w:r>
      <w:r w:rsidRPr="000A0BFB">
        <w:rPr>
          <w:rFonts w:ascii="Arial" w:hAnsi="Arial" w:cs="Arial"/>
        </w:rPr>
        <w:t xml:space="preserve">leveraging </w:t>
      </w:r>
      <w:r w:rsidR="00747693" w:rsidRPr="000A0BFB">
        <w:rPr>
          <w:rFonts w:ascii="Arial" w:hAnsi="Arial" w:cs="Arial"/>
        </w:rPr>
        <w:t xml:space="preserve">of </w:t>
      </w:r>
      <w:r w:rsidRPr="000A0BFB">
        <w:rPr>
          <w:rFonts w:ascii="Arial" w:hAnsi="Arial" w:cs="Arial"/>
        </w:rPr>
        <w:t>an effective fee system, bill collection</w:t>
      </w:r>
      <w:r w:rsidR="00747693" w:rsidRPr="000A0BFB">
        <w:rPr>
          <w:rFonts w:ascii="Arial" w:hAnsi="Arial" w:cs="Arial"/>
        </w:rPr>
        <w:t xml:space="preserve"> improved</w:t>
      </w:r>
      <w:r w:rsidRPr="000A0BFB">
        <w:rPr>
          <w:rFonts w:ascii="Arial" w:hAnsi="Arial" w:cs="Arial"/>
        </w:rPr>
        <w:t xml:space="preserve">, affordable financing </w:t>
      </w:r>
      <w:r w:rsidR="00747693" w:rsidRPr="000A0BFB">
        <w:rPr>
          <w:rFonts w:ascii="Arial" w:hAnsi="Arial" w:cs="Arial"/>
        </w:rPr>
        <w:t xml:space="preserve">was offered to </w:t>
      </w:r>
      <w:r w:rsidRPr="000A0BFB">
        <w:rPr>
          <w:rFonts w:ascii="Arial" w:hAnsi="Arial" w:cs="Arial"/>
        </w:rPr>
        <w:t>customers,</w:t>
      </w:r>
      <w:r w:rsidR="00747693" w:rsidRPr="000A0BFB">
        <w:rPr>
          <w:rFonts w:ascii="Arial" w:hAnsi="Arial" w:cs="Arial"/>
        </w:rPr>
        <w:t xml:space="preserve"> and </w:t>
      </w:r>
      <w:r w:rsidRPr="000A0BFB">
        <w:rPr>
          <w:rFonts w:ascii="Arial" w:hAnsi="Arial" w:cs="Arial"/>
        </w:rPr>
        <w:t xml:space="preserve">29% of project costs </w:t>
      </w:r>
      <w:r w:rsidR="00747693" w:rsidRPr="000A0BFB">
        <w:rPr>
          <w:rFonts w:ascii="Arial" w:hAnsi="Arial" w:cs="Arial"/>
        </w:rPr>
        <w:t xml:space="preserve">were </w:t>
      </w:r>
      <w:r w:rsidRPr="000A0BFB">
        <w:rPr>
          <w:rFonts w:ascii="Arial" w:hAnsi="Arial" w:cs="Arial"/>
        </w:rPr>
        <w:t xml:space="preserve">covered by public </w:t>
      </w:r>
      <w:r w:rsidR="00415787" w:rsidRPr="000A0BFB">
        <w:rPr>
          <w:rFonts w:ascii="Arial" w:hAnsi="Arial" w:cs="Arial"/>
        </w:rPr>
        <w:t>investment. Even</w:t>
      </w:r>
      <w:r w:rsidRPr="000A0BFB">
        <w:rPr>
          <w:rFonts w:ascii="Arial" w:hAnsi="Arial" w:cs="Arial"/>
        </w:rPr>
        <w:t xml:space="preserve"> the less successful projects offer lessons into what to avoid or prevent in wastewater PPPs. In Ecuador and Croatia</w:t>
      </w:r>
      <w:r w:rsidR="00D77045" w:rsidRPr="000A0BFB">
        <w:rPr>
          <w:rFonts w:ascii="Arial" w:hAnsi="Arial" w:cs="Arial"/>
        </w:rPr>
        <w:t>,</w:t>
      </w:r>
      <w:r w:rsidRPr="000A0BFB">
        <w:rPr>
          <w:rFonts w:ascii="Arial" w:hAnsi="Arial" w:cs="Arial"/>
        </w:rPr>
        <w:t xml:space="preserve"> the lack of transparency and stakeholder buy-in threaten the future of the projects. In Egypt, the 6</w:t>
      </w:r>
      <w:r w:rsidRPr="000A0BFB">
        <w:rPr>
          <w:rFonts w:ascii="Arial" w:hAnsi="Arial" w:cs="Arial"/>
          <w:vertAlign w:val="superscript"/>
        </w:rPr>
        <w:t xml:space="preserve">th </w:t>
      </w:r>
      <w:r w:rsidRPr="000A0BFB">
        <w:rPr>
          <w:rFonts w:ascii="Arial" w:hAnsi="Arial" w:cs="Arial"/>
        </w:rPr>
        <w:t>of October project was cancelled due to high</w:t>
      </w:r>
      <w:r w:rsidR="00495F3F">
        <w:rPr>
          <w:rFonts w:ascii="Arial" w:hAnsi="Arial" w:cs="Arial"/>
        </w:rPr>
        <w:t>er than anticipated</w:t>
      </w:r>
      <w:r w:rsidRPr="000A0BFB">
        <w:rPr>
          <w:rFonts w:ascii="Arial" w:hAnsi="Arial" w:cs="Arial"/>
        </w:rPr>
        <w:t xml:space="preserve"> projected costs</w:t>
      </w:r>
      <w:r w:rsidR="00495F3F">
        <w:rPr>
          <w:rFonts w:ascii="Arial" w:hAnsi="Arial" w:cs="Arial"/>
        </w:rPr>
        <w:t xml:space="preserve"> (as well as</w:t>
      </w:r>
      <w:r w:rsidRPr="000A0BFB">
        <w:rPr>
          <w:rFonts w:ascii="Arial" w:hAnsi="Arial" w:cs="Arial"/>
        </w:rPr>
        <w:t xml:space="preserve"> political instability</w:t>
      </w:r>
      <w:r w:rsidR="00495F3F">
        <w:rPr>
          <w:rFonts w:ascii="Arial" w:hAnsi="Arial" w:cs="Arial"/>
        </w:rPr>
        <w:t xml:space="preserve"> which is beyond the project’s control)</w:t>
      </w:r>
      <w:r w:rsidRPr="000A0BFB">
        <w:rPr>
          <w:rFonts w:ascii="Arial" w:hAnsi="Arial" w:cs="Arial"/>
        </w:rPr>
        <w:t xml:space="preserve">. Based on the lessons from both the successes and the failures, it is clear that </w:t>
      </w:r>
      <w:r w:rsidR="00C64DAA">
        <w:rPr>
          <w:rFonts w:ascii="Arial" w:hAnsi="Arial" w:cs="Arial"/>
        </w:rPr>
        <w:t>appropriate</w:t>
      </w:r>
      <w:r w:rsidR="009507E6">
        <w:rPr>
          <w:rFonts w:ascii="Arial" w:hAnsi="Arial" w:cs="Arial"/>
        </w:rPr>
        <w:t xml:space="preserve"> project structuring</w:t>
      </w:r>
      <w:r w:rsidRPr="000A0BFB">
        <w:rPr>
          <w:rFonts w:ascii="Arial" w:hAnsi="Arial" w:cs="Arial"/>
        </w:rPr>
        <w:t xml:space="preserve">, stakeholder engagement, and transparent procurement processes </w:t>
      </w:r>
      <w:r w:rsidR="00B10A05" w:rsidRPr="000A0BFB">
        <w:rPr>
          <w:rFonts w:ascii="Arial" w:hAnsi="Arial" w:cs="Arial"/>
        </w:rPr>
        <w:t xml:space="preserve">are </w:t>
      </w:r>
      <w:r w:rsidR="003277B4">
        <w:rPr>
          <w:rFonts w:ascii="Arial" w:hAnsi="Arial" w:cs="Arial"/>
        </w:rPr>
        <w:t xml:space="preserve">amongst the most </w:t>
      </w:r>
      <w:r w:rsidR="00B10A05" w:rsidRPr="000A0BFB">
        <w:rPr>
          <w:rFonts w:ascii="Arial" w:hAnsi="Arial" w:cs="Arial"/>
        </w:rPr>
        <w:t>vital</w:t>
      </w:r>
      <w:r w:rsidR="003277B4">
        <w:rPr>
          <w:rFonts w:ascii="Arial" w:hAnsi="Arial" w:cs="Arial"/>
        </w:rPr>
        <w:t xml:space="preserve"> elements of a successful wastewater PPP experience</w:t>
      </w:r>
      <w:r w:rsidR="00D77045" w:rsidRPr="000A0BFB">
        <w:rPr>
          <w:rFonts w:ascii="Arial" w:hAnsi="Arial" w:cs="Arial"/>
        </w:rPr>
        <w:t>.</w:t>
      </w:r>
      <w:r w:rsidR="009507E6">
        <w:rPr>
          <w:rFonts w:ascii="Arial" w:hAnsi="Arial" w:cs="Arial"/>
        </w:rPr>
        <w:t xml:space="preserve"> These </w:t>
      </w:r>
      <w:r w:rsidR="007F0691">
        <w:rPr>
          <w:rFonts w:ascii="Arial" w:hAnsi="Arial" w:cs="Arial"/>
        </w:rPr>
        <w:t>key</w:t>
      </w:r>
      <w:r w:rsidR="00132488">
        <w:rPr>
          <w:rFonts w:ascii="Arial" w:hAnsi="Arial" w:cs="Arial"/>
        </w:rPr>
        <w:t xml:space="preserve"> </w:t>
      </w:r>
      <w:r w:rsidR="009C3261">
        <w:rPr>
          <w:rFonts w:ascii="Arial" w:hAnsi="Arial" w:cs="Arial"/>
        </w:rPr>
        <w:t xml:space="preserve">success </w:t>
      </w:r>
      <w:r w:rsidRPr="000A0BFB">
        <w:rPr>
          <w:rFonts w:ascii="Arial" w:hAnsi="Arial" w:cs="Arial"/>
        </w:rPr>
        <w:t>factors</w:t>
      </w:r>
      <w:r w:rsidR="009507E6">
        <w:rPr>
          <w:rFonts w:ascii="Arial" w:hAnsi="Arial" w:cs="Arial"/>
        </w:rPr>
        <w:t>, and two others</w:t>
      </w:r>
      <w:r w:rsidR="00132488">
        <w:rPr>
          <w:rFonts w:ascii="Arial" w:hAnsi="Arial" w:cs="Arial"/>
        </w:rPr>
        <w:t xml:space="preserve"> </w:t>
      </w:r>
      <w:r w:rsidRPr="000A0BFB">
        <w:rPr>
          <w:rFonts w:ascii="Arial" w:hAnsi="Arial" w:cs="Arial"/>
        </w:rPr>
        <w:t xml:space="preserve">that </w:t>
      </w:r>
      <w:r w:rsidR="00FA0911">
        <w:rPr>
          <w:rFonts w:ascii="Arial" w:hAnsi="Arial" w:cs="Arial"/>
        </w:rPr>
        <w:t xml:space="preserve">also </w:t>
      </w:r>
      <w:r w:rsidRPr="000A0BFB">
        <w:rPr>
          <w:rFonts w:ascii="Arial" w:hAnsi="Arial" w:cs="Arial"/>
        </w:rPr>
        <w:t xml:space="preserve">appear to commonly apply to </w:t>
      </w:r>
      <w:r w:rsidR="0033389D">
        <w:rPr>
          <w:rFonts w:ascii="Arial" w:hAnsi="Arial" w:cs="Arial"/>
        </w:rPr>
        <w:t xml:space="preserve">better performing </w:t>
      </w:r>
      <w:r w:rsidRPr="000A0BFB">
        <w:rPr>
          <w:rFonts w:ascii="Arial" w:hAnsi="Arial" w:cs="Arial"/>
        </w:rPr>
        <w:t>wastewater PPPs</w:t>
      </w:r>
      <w:r w:rsidR="00FA0911">
        <w:rPr>
          <w:rFonts w:ascii="Arial" w:hAnsi="Arial" w:cs="Arial"/>
        </w:rPr>
        <w:t>,</w:t>
      </w:r>
      <w:r w:rsidR="009507E6">
        <w:rPr>
          <w:rFonts w:ascii="Arial" w:hAnsi="Arial" w:cs="Arial"/>
        </w:rPr>
        <w:t xml:space="preserve"> are </w:t>
      </w:r>
      <w:r w:rsidRPr="000A0BFB">
        <w:rPr>
          <w:rFonts w:ascii="Arial" w:hAnsi="Arial" w:cs="Arial"/>
        </w:rPr>
        <w:t xml:space="preserve">listed in order of prevalence in the table below: </w:t>
      </w:r>
    </w:p>
    <w:p w:rsidR="00534122" w:rsidRPr="000A0BFB" w:rsidRDefault="00534122" w:rsidP="00F2332A">
      <w:pPr>
        <w:jc w:val="both"/>
        <w:rPr>
          <w:rFonts w:ascii="Arial" w:hAnsi="Arial" w:cs="Arial"/>
          <w:b/>
        </w:rPr>
      </w:pPr>
      <w:r w:rsidRPr="000A0BFB">
        <w:rPr>
          <w:rFonts w:ascii="Arial" w:hAnsi="Arial" w:cs="Arial"/>
          <w:b/>
        </w:rPr>
        <w:t xml:space="preserve">Table </w:t>
      </w:r>
      <w:r w:rsidR="00F2332A" w:rsidRPr="000A0BFB">
        <w:rPr>
          <w:rFonts w:ascii="Arial" w:hAnsi="Arial" w:cs="Arial"/>
          <w:b/>
        </w:rPr>
        <w:t>3</w:t>
      </w:r>
      <w:r w:rsidRPr="000A0BFB">
        <w:rPr>
          <w:rFonts w:ascii="Arial" w:hAnsi="Arial" w:cs="Arial"/>
          <w:b/>
        </w:rPr>
        <w:t xml:space="preserve">: </w:t>
      </w:r>
      <w:r w:rsidR="00CA7A06">
        <w:rPr>
          <w:rFonts w:ascii="Arial" w:hAnsi="Arial" w:cs="Arial"/>
          <w:b/>
        </w:rPr>
        <w:t>Key</w:t>
      </w:r>
      <w:r w:rsidRPr="000A0BFB">
        <w:rPr>
          <w:rFonts w:ascii="Arial" w:hAnsi="Arial" w:cs="Arial"/>
          <w:b/>
        </w:rPr>
        <w:t xml:space="preserve"> Factors highlighted in Ten Global Wastewater PPP Case Studies</w:t>
      </w:r>
    </w:p>
    <w:tbl>
      <w:tblPr>
        <w:tblStyle w:val="LightList-Accent5"/>
        <w:tblW w:w="0" w:type="auto"/>
        <w:tblLayout w:type="fixed"/>
        <w:tblLook w:val="04A0" w:firstRow="1" w:lastRow="0" w:firstColumn="1" w:lastColumn="0" w:noHBand="0" w:noVBand="1"/>
      </w:tblPr>
      <w:tblGrid>
        <w:gridCol w:w="4338"/>
        <w:gridCol w:w="513"/>
        <w:gridCol w:w="513"/>
        <w:gridCol w:w="513"/>
        <w:gridCol w:w="513"/>
        <w:gridCol w:w="513"/>
        <w:gridCol w:w="513"/>
        <w:gridCol w:w="513"/>
        <w:gridCol w:w="513"/>
        <w:gridCol w:w="513"/>
        <w:gridCol w:w="513"/>
      </w:tblGrid>
      <w:tr w:rsidR="00534122" w:rsidRPr="000A0BFB" w:rsidTr="00534122">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338" w:type="dxa"/>
            <w:shd w:val="clear" w:color="auto" w:fill="002060"/>
            <w:vAlign w:val="center"/>
          </w:tcPr>
          <w:p w:rsidR="00534122" w:rsidRPr="000A0BFB" w:rsidRDefault="00EA61DA" w:rsidP="00F2332A">
            <w:pPr>
              <w:jc w:val="both"/>
              <w:rPr>
                <w:rFonts w:ascii="Arial" w:hAnsi="Arial" w:cs="Arial"/>
                <w:sz w:val="20"/>
                <w:szCs w:val="20"/>
              </w:rPr>
            </w:pPr>
            <w:r>
              <w:rPr>
                <w:rFonts w:ascii="Arial" w:hAnsi="Arial" w:cs="Arial"/>
                <w:sz w:val="20"/>
                <w:szCs w:val="20"/>
              </w:rPr>
              <w:t>Key</w:t>
            </w:r>
            <w:r w:rsidR="00882278">
              <w:rPr>
                <w:rFonts w:ascii="Arial" w:hAnsi="Arial" w:cs="Arial"/>
                <w:sz w:val="20"/>
                <w:szCs w:val="20"/>
              </w:rPr>
              <w:t xml:space="preserve">Success </w:t>
            </w:r>
            <w:r w:rsidR="00534122" w:rsidRPr="000A0BFB">
              <w:rPr>
                <w:rFonts w:ascii="Arial" w:hAnsi="Arial" w:cs="Arial"/>
                <w:sz w:val="20"/>
                <w:szCs w:val="20"/>
              </w:rPr>
              <w:t xml:space="preserve">Factors </w:t>
            </w:r>
          </w:p>
          <w:p w:rsidR="00534122" w:rsidRPr="000A0BFB" w:rsidRDefault="00534122" w:rsidP="00F2332A">
            <w:pPr>
              <w:jc w:val="both"/>
              <w:rPr>
                <w:rFonts w:ascii="Arial" w:hAnsi="Arial" w:cs="Arial"/>
                <w:sz w:val="20"/>
                <w:szCs w:val="20"/>
              </w:rPr>
            </w:pPr>
            <w:r w:rsidRPr="000A0BFB">
              <w:rPr>
                <w:rFonts w:ascii="Arial" w:hAnsi="Arial" w:cs="Arial"/>
                <w:i/>
                <w:sz w:val="20"/>
                <w:szCs w:val="20"/>
              </w:rPr>
              <w:t>(In order of prevalence)</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India</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China</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Egypt/NC</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Egypt/ 6</w:t>
            </w:r>
            <w:r w:rsidRPr="000A0BFB">
              <w:rPr>
                <w:rFonts w:ascii="Arial" w:hAnsi="Arial" w:cs="Arial"/>
                <w:sz w:val="20"/>
                <w:szCs w:val="20"/>
                <w:vertAlign w:val="superscript"/>
              </w:rPr>
              <w:t>th</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Sen.</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Hond.</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Ecua.</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Arg.</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Brazil</w:t>
            </w:r>
          </w:p>
        </w:tc>
        <w:tc>
          <w:tcPr>
            <w:tcW w:w="513" w:type="dxa"/>
            <w:shd w:val="clear" w:color="auto" w:fill="002060"/>
            <w:textDirection w:val="btLr"/>
          </w:tcPr>
          <w:p w:rsidR="00534122" w:rsidRPr="000A0BFB" w:rsidRDefault="00534122" w:rsidP="00F2332A">
            <w:pPr>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0BFB">
              <w:rPr>
                <w:rFonts w:ascii="Arial" w:hAnsi="Arial" w:cs="Arial"/>
                <w:sz w:val="20"/>
                <w:szCs w:val="20"/>
              </w:rPr>
              <w:t>Croatia</w:t>
            </w:r>
          </w:p>
        </w:tc>
      </w:tr>
      <w:tr w:rsidR="00534122" w:rsidRPr="000A0BFB" w:rsidTr="00C3531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338" w:type="dxa"/>
            <w:vAlign w:val="center"/>
          </w:tcPr>
          <w:p w:rsidR="00534122" w:rsidRPr="000A0BFB" w:rsidRDefault="0032107B" w:rsidP="00C3531D">
            <w:pPr>
              <w:rPr>
                <w:rFonts w:ascii="Arial" w:hAnsi="Arial" w:cs="Arial"/>
                <w:sz w:val="20"/>
                <w:szCs w:val="20"/>
              </w:rPr>
            </w:pPr>
            <w:r>
              <w:rPr>
                <w:rFonts w:ascii="Arial" w:hAnsi="Arial" w:cs="Arial"/>
                <w:sz w:val="20"/>
                <w:szCs w:val="20"/>
              </w:rPr>
              <w:t>Appropriate Project Structuring</w:t>
            </w: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FFFFFF" w:themeFill="background1"/>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FFFFFF" w:themeFill="background1"/>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r>
      <w:tr w:rsidR="00534122" w:rsidRPr="000A0BFB" w:rsidTr="00C3531D">
        <w:trPr>
          <w:trHeight w:val="368"/>
        </w:trPr>
        <w:tc>
          <w:tcPr>
            <w:cnfStyle w:val="001000000000" w:firstRow="0" w:lastRow="0" w:firstColumn="1" w:lastColumn="0" w:oddVBand="0" w:evenVBand="0" w:oddHBand="0" w:evenHBand="0" w:firstRowFirstColumn="0" w:firstRowLastColumn="0" w:lastRowFirstColumn="0" w:lastRowLastColumn="0"/>
            <w:tcW w:w="4338" w:type="dxa"/>
            <w:vAlign w:val="center"/>
          </w:tcPr>
          <w:p w:rsidR="00534122" w:rsidRPr="000A0BFB" w:rsidRDefault="0032107B" w:rsidP="00C3531D">
            <w:pPr>
              <w:rPr>
                <w:rFonts w:ascii="Arial" w:hAnsi="Arial" w:cs="Arial"/>
                <w:sz w:val="20"/>
                <w:szCs w:val="20"/>
              </w:rPr>
            </w:pPr>
            <w:r>
              <w:rPr>
                <w:rFonts w:ascii="Arial" w:hAnsi="Arial" w:cs="Arial"/>
                <w:sz w:val="20"/>
                <w:szCs w:val="20"/>
              </w:rPr>
              <w:t>Stakeholder</w:t>
            </w:r>
            <w:r w:rsidR="00132488">
              <w:rPr>
                <w:rFonts w:ascii="Arial" w:hAnsi="Arial" w:cs="Arial"/>
                <w:sz w:val="20"/>
                <w:szCs w:val="20"/>
              </w:rPr>
              <w:t xml:space="preserve"> </w:t>
            </w:r>
            <w:r w:rsidR="004D1010">
              <w:rPr>
                <w:rFonts w:ascii="Arial" w:hAnsi="Arial" w:cs="Arial"/>
                <w:sz w:val="20"/>
                <w:szCs w:val="20"/>
              </w:rPr>
              <w:t>Participation and Coordination</w:t>
            </w: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c>
          <w:tcPr>
            <w:tcW w:w="513" w:type="dxa"/>
            <w:shd w:val="clear" w:color="auto" w:fill="FFFFFF" w:themeFill="background1"/>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r>
      <w:tr w:rsidR="00534122" w:rsidRPr="000A0BFB" w:rsidTr="00C3531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338" w:type="dxa"/>
            <w:vAlign w:val="center"/>
          </w:tcPr>
          <w:p w:rsidR="00534122" w:rsidRPr="000A0BFB" w:rsidRDefault="0032107B" w:rsidP="00C3531D">
            <w:pPr>
              <w:rPr>
                <w:rFonts w:ascii="Arial" w:hAnsi="Arial" w:cs="Arial"/>
                <w:sz w:val="20"/>
                <w:szCs w:val="20"/>
              </w:rPr>
            </w:pPr>
            <w:r>
              <w:rPr>
                <w:rFonts w:ascii="Arial" w:hAnsi="Arial" w:cs="Arial"/>
                <w:sz w:val="20"/>
                <w:szCs w:val="20"/>
              </w:rPr>
              <w:t>Transparent Procurement</w:t>
            </w: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c>
          <w:tcPr>
            <w:tcW w:w="513" w:type="dxa"/>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r>
      <w:tr w:rsidR="00534122" w:rsidRPr="000A0BFB" w:rsidTr="00C3531D">
        <w:trPr>
          <w:trHeight w:val="368"/>
        </w:trPr>
        <w:tc>
          <w:tcPr>
            <w:cnfStyle w:val="001000000000" w:firstRow="0" w:lastRow="0" w:firstColumn="1" w:lastColumn="0" w:oddVBand="0" w:evenVBand="0" w:oddHBand="0" w:evenHBand="0" w:firstRowFirstColumn="0" w:firstRowLastColumn="0" w:lastRowFirstColumn="0" w:lastRowLastColumn="0"/>
            <w:tcW w:w="4338" w:type="dxa"/>
            <w:vAlign w:val="center"/>
          </w:tcPr>
          <w:p w:rsidR="00534122" w:rsidRPr="000A0BFB" w:rsidRDefault="00534122" w:rsidP="00C3531D">
            <w:pPr>
              <w:rPr>
                <w:rFonts w:ascii="Arial" w:hAnsi="Arial" w:cs="Arial"/>
                <w:sz w:val="20"/>
                <w:szCs w:val="20"/>
              </w:rPr>
            </w:pPr>
            <w:r w:rsidRPr="000A0BFB">
              <w:rPr>
                <w:rFonts w:ascii="Arial" w:hAnsi="Arial" w:cs="Arial"/>
                <w:sz w:val="20"/>
                <w:szCs w:val="20"/>
              </w:rPr>
              <w:t>Enabling Environment</w:t>
            </w: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r w:rsidRPr="000A0BFB">
              <w:rPr>
                <w:rFonts w:ascii="Arial" w:hAnsi="Arial" w:cs="Arial"/>
                <w:b/>
                <w:color w:val="92D050"/>
                <w:sz w:val="20"/>
                <w:szCs w:val="20"/>
              </w:rPr>
              <w:t>X</w:t>
            </w:r>
          </w:p>
        </w:tc>
        <w:tc>
          <w:tcPr>
            <w:tcW w:w="513" w:type="dxa"/>
            <w:shd w:val="clear" w:color="auto" w:fill="92D050"/>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c>
          <w:tcPr>
            <w:tcW w:w="513" w:type="dxa"/>
          </w:tcPr>
          <w:p w:rsidR="00534122" w:rsidRPr="000A0BFB" w:rsidRDefault="00534122" w:rsidP="00F2332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20"/>
                <w:szCs w:val="20"/>
              </w:rPr>
            </w:pPr>
          </w:p>
        </w:tc>
      </w:tr>
      <w:tr w:rsidR="0065224C" w:rsidRPr="000A0BFB" w:rsidTr="00C3531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338" w:type="dxa"/>
            <w:vAlign w:val="center"/>
          </w:tcPr>
          <w:p w:rsidR="0065224C" w:rsidRPr="000A0BFB" w:rsidRDefault="0032107B" w:rsidP="00C3531D">
            <w:pPr>
              <w:rPr>
                <w:rFonts w:ascii="Arial" w:hAnsi="Arial" w:cs="Arial"/>
                <w:sz w:val="20"/>
                <w:szCs w:val="20"/>
              </w:rPr>
            </w:pPr>
            <w:r>
              <w:rPr>
                <w:rFonts w:ascii="Arial" w:hAnsi="Arial" w:cs="Arial"/>
                <w:sz w:val="20"/>
                <w:szCs w:val="20"/>
              </w:rPr>
              <w:t>Capacity Building and Public Awareness</w:t>
            </w:r>
          </w:p>
        </w:tc>
        <w:tc>
          <w:tcPr>
            <w:tcW w:w="513" w:type="dxa"/>
            <w:shd w:val="clear" w:color="auto" w:fill="FFFFFF" w:themeFill="background1"/>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FFFFFF" w:themeFill="background1"/>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92D050"/>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FFFFFF" w:themeFill="background1"/>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FFFFFF" w:themeFill="background1"/>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c>
          <w:tcPr>
            <w:tcW w:w="513" w:type="dxa"/>
            <w:shd w:val="clear" w:color="auto" w:fill="FFFFFF" w:themeFill="background1"/>
          </w:tcPr>
          <w:p w:rsidR="0065224C" w:rsidRPr="000A0BFB" w:rsidRDefault="0065224C" w:rsidP="00F2332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20"/>
                <w:szCs w:val="20"/>
              </w:rPr>
            </w:pPr>
          </w:p>
        </w:tc>
      </w:tr>
    </w:tbl>
    <w:p w:rsidR="00534122" w:rsidRPr="000A0BFB" w:rsidRDefault="00534122" w:rsidP="00F2332A">
      <w:pPr>
        <w:pStyle w:val="Heading1"/>
        <w:jc w:val="both"/>
        <w:rPr>
          <w:rFonts w:ascii="Arial" w:hAnsi="Arial" w:cs="Arial"/>
          <w:color w:val="002060"/>
          <w:sz w:val="24"/>
          <w:szCs w:val="24"/>
        </w:rPr>
      </w:pPr>
      <w:bookmarkStart w:id="19" w:name="_Toc404073802"/>
      <w:r w:rsidRPr="000A0BFB">
        <w:rPr>
          <w:rFonts w:ascii="Arial" w:hAnsi="Arial" w:cs="Arial"/>
          <w:color w:val="002060"/>
          <w:sz w:val="24"/>
          <w:szCs w:val="24"/>
        </w:rPr>
        <w:t>Recommendations Looking Forward</w:t>
      </w:r>
      <w:bookmarkEnd w:id="19"/>
    </w:p>
    <w:p w:rsidR="00534122" w:rsidRPr="000A0BFB" w:rsidRDefault="00534122" w:rsidP="00F2332A">
      <w:pPr>
        <w:jc w:val="both"/>
        <w:rPr>
          <w:rFonts w:ascii="Arial" w:hAnsi="Arial" w:cs="Arial"/>
        </w:rPr>
      </w:pPr>
    </w:p>
    <w:p w:rsidR="00330373" w:rsidRPr="000A0BFB" w:rsidRDefault="00534122" w:rsidP="00F2332A">
      <w:pPr>
        <w:jc w:val="both"/>
        <w:rPr>
          <w:rFonts w:ascii="Arial" w:hAnsi="Arial" w:cs="Arial"/>
        </w:rPr>
      </w:pPr>
      <w:r w:rsidRPr="000A0BFB">
        <w:rPr>
          <w:rFonts w:ascii="Arial" w:hAnsi="Arial" w:cs="Arial"/>
        </w:rPr>
        <w:t xml:space="preserve">While the ten cases highlighted in this study do provide some effective practices, they also demonstrate the lack of a consistent or standard approach for urban utilities seeking to expand access to wastewater treatment and sanitation services to traditionally underserved, low-income customers. </w:t>
      </w:r>
    </w:p>
    <w:p w:rsidR="00330373" w:rsidRPr="000A0BFB" w:rsidRDefault="001E4F43" w:rsidP="00F2332A">
      <w:pPr>
        <w:jc w:val="both"/>
        <w:rPr>
          <w:rFonts w:ascii="Arial" w:hAnsi="Arial" w:cs="Arial"/>
        </w:rPr>
      </w:pPr>
      <w:r>
        <w:rPr>
          <w:rFonts w:ascii="Arial" w:hAnsi="Arial" w:cs="Arial"/>
        </w:rPr>
        <w:t>In this context, s</w:t>
      </w:r>
      <w:r w:rsidR="00C138E2" w:rsidRPr="000A0BFB">
        <w:rPr>
          <w:rFonts w:ascii="Arial" w:hAnsi="Arial" w:cs="Arial"/>
        </w:rPr>
        <w:t xml:space="preserve">ome useful recommendations can be gleaned </w:t>
      </w:r>
      <w:r>
        <w:rPr>
          <w:rFonts w:ascii="Arial" w:hAnsi="Arial" w:cs="Arial"/>
        </w:rPr>
        <w:t xml:space="preserve">for policy makers who wish to </w:t>
      </w:r>
      <w:r w:rsidR="00C138E2" w:rsidRPr="000A0BFB">
        <w:rPr>
          <w:rFonts w:ascii="Arial" w:hAnsi="Arial" w:cs="Arial"/>
        </w:rPr>
        <w:t xml:space="preserve">design programs that target and serve low income customers. </w:t>
      </w:r>
      <w:r w:rsidR="00330373" w:rsidRPr="000A0BFB">
        <w:rPr>
          <w:rFonts w:ascii="Arial" w:hAnsi="Arial" w:cs="Arial"/>
        </w:rPr>
        <w:t xml:space="preserve">The most consistent theme with all the successful projects was the </w:t>
      </w:r>
      <w:r w:rsidR="00330373" w:rsidRPr="00AC44D0">
        <w:rPr>
          <w:rFonts w:ascii="Arial" w:hAnsi="Arial" w:cs="Arial"/>
          <w:b/>
        </w:rPr>
        <w:t>utilization of transparent procurement procedures</w:t>
      </w:r>
      <w:r w:rsidR="00330373" w:rsidRPr="000A0BFB">
        <w:rPr>
          <w:rFonts w:ascii="Arial" w:hAnsi="Arial" w:cs="Arial"/>
        </w:rPr>
        <w:t>. Projects whose procurement is transparent have generally faced less resistance from the communities while those that were sole sourced were generally blighted with corruption accusations. Even in the cases where the corruption accusations could not be substantiated, the private operator would lose credibility with customers generally leading to customers’</w:t>
      </w:r>
      <w:r w:rsidR="00F2332A" w:rsidRPr="000A0BFB">
        <w:rPr>
          <w:rFonts w:ascii="Arial" w:hAnsi="Arial" w:cs="Arial"/>
        </w:rPr>
        <w:t xml:space="preserve"> unwillingness to pay for services.</w:t>
      </w:r>
    </w:p>
    <w:p w:rsidR="00330373" w:rsidRPr="000A0BFB" w:rsidRDefault="00F2332A" w:rsidP="00F2332A">
      <w:pPr>
        <w:jc w:val="both"/>
        <w:rPr>
          <w:rFonts w:ascii="Arial" w:hAnsi="Arial" w:cs="Arial"/>
        </w:rPr>
      </w:pPr>
      <w:r w:rsidRPr="000A0BFB">
        <w:rPr>
          <w:rFonts w:ascii="Arial" w:hAnsi="Arial" w:cs="Arial"/>
        </w:rPr>
        <w:t xml:space="preserve">The Alandur </w:t>
      </w:r>
      <w:r w:rsidR="00C568C5">
        <w:rPr>
          <w:rFonts w:ascii="Arial" w:hAnsi="Arial" w:cs="Arial"/>
        </w:rPr>
        <w:t xml:space="preserve">case </w:t>
      </w:r>
      <w:r w:rsidRPr="000A0BFB">
        <w:rPr>
          <w:rFonts w:ascii="Arial" w:hAnsi="Arial" w:cs="Arial"/>
        </w:rPr>
        <w:t xml:space="preserve">demonstrates that </w:t>
      </w:r>
      <w:r w:rsidR="00330373" w:rsidRPr="00AC44D0">
        <w:rPr>
          <w:rFonts w:ascii="Arial" w:hAnsi="Arial" w:cs="Arial"/>
          <w:b/>
        </w:rPr>
        <w:t>treating low income customers as stakeholders</w:t>
      </w:r>
      <w:r w:rsidR="00132488">
        <w:rPr>
          <w:rFonts w:ascii="Arial" w:hAnsi="Arial" w:cs="Arial"/>
          <w:b/>
        </w:rPr>
        <w:t xml:space="preserve"> </w:t>
      </w:r>
      <w:r w:rsidRPr="000A0BFB">
        <w:rPr>
          <w:rFonts w:ascii="Arial" w:hAnsi="Arial" w:cs="Arial"/>
        </w:rPr>
        <w:t xml:space="preserve">can build </w:t>
      </w:r>
      <w:r w:rsidR="00330373" w:rsidRPr="000A0BFB">
        <w:rPr>
          <w:rFonts w:ascii="Arial" w:hAnsi="Arial" w:cs="Arial"/>
        </w:rPr>
        <w:t xml:space="preserve">goodwill </w:t>
      </w:r>
      <w:r w:rsidRPr="000A0BFB">
        <w:rPr>
          <w:rFonts w:ascii="Arial" w:hAnsi="Arial" w:cs="Arial"/>
        </w:rPr>
        <w:t xml:space="preserve">and support </w:t>
      </w:r>
      <w:r w:rsidR="00330373" w:rsidRPr="000A0BFB">
        <w:rPr>
          <w:rFonts w:ascii="Arial" w:hAnsi="Arial" w:cs="Arial"/>
        </w:rPr>
        <w:t>for the project</w:t>
      </w:r>
      <w:r w:rsidRPr="000A0BFB">
        <w:rPr>
          <w:rFonts w:ascii="Arial" w:hAnsi="Arial" w:cs="Arial"/>
        </w:rPr>
        <w:t xml:space="preserve">. The </w:t>
      </w:r>
      <w:r w:rsidR="00330373" w:rsidRPr="000A0BFB">
        <w:rPr>
          <w:rFonts w:ascii="Arial" w:hAnsi="Arial" w:cs="Arial"/>
        </w:rPr>
        <w:t>willingness</w:t>
      </w:r>
      <w:r w:rsidRPr="000A0BFB">
        <w:rPr>
          <w:rFonts w:ascii="Arial" w:hAnsi="Arial" w:cs="Arial"/>
        </w:rPr>
        <w:t>-</w:t>
      </w:r>
      <w:r w:rsidR="00330373" w:rsidRPr="000A0BFB">
        <w:rPr>
          <w:rFonts w:ascii="Arial" w:hAnsi="Arial" w:cs="Arial"/>
        </w:rPr>
        <w:t>to</w:t>
      </w:r>
      <w:r w:rsidRPr="000A0BFB">
        <w:rPr>
          <w:rFonts w:ascii="Arial" w:hAnsi="Arial" w:cs="Arial"/>
        </w:rPr>
        <w:t>-</w:t>
      </w:r>
      <w:r w:rsidR="00330373" w:rsidRPr="000A0BFB">
        <w:rPr>
          <w:rFonts w:ascii="Arial" w:hAnsi="Arial" w:cs="Arial"/>
        </w:rPr>
        <w:t xml:space="preserve">pay study </w:t>
      </w:r>
      <w:r w:rsidRPr="000A0BFB">
        <w:rPr>
          <w:rFonts w:ascii="Arial" w:hAnsi="Arial" w:cs="Arial"/>
        </w:rPr>
        <w:t>that was commissioned assisted the developers and financiers in</w:t>
      </w:r>
      <w:r w:rsidR="00330373" w:rsidRPr="000A0BFB">
        <w:rPr>
          <w:rFonts w:ascii="Arial" w:hAnsi="Arial" w:cs="Arial"/>
        </w:rPr>
        <w:t xml:space="preserve"> properly structur</w:t>
      </w:r>
      <w:r w:rsidRPr="000A0BFB">
        <w:rPr>
          <w:rFonts w:ascii="Arial" w:hAnsi="Arial" w:cs="Arial"/>
        </w:rPr>
        <w:t>ing</w:t>
      </w:r>
      <w:r w:rsidR="00330373" w:rsidRPr="000A0BFB">
        <w:rPr>
          <w:rFonts w:ascii="Arial" w:hAnsi="Arial" w:cs="Arial"/>
        </w:rPr>
        <w:t xml:space="preserve"> the project. Developers </w:t>
      </w:r>
      <w:r w:rsidRPr="000A0BFB">
        <w:rPr>
          <w:rFonts w:ascii="Arial" w:hAnsi="Arial" w:cs="Arial"/>
        </w:rPr>
        <w:t xml:space="preserve">were able to more accurately </w:t>
      </w:r>
      <w:r w:rsidR="00330373" w:rsidRPr="000A0BFB">
        <w:rPr>
          <w:rFonts w:ascii="Arial" w:hAnsi="Arial" w:cs="Arial"/>
        </w:rPr>
        <w:t xml:space="preserve">determine </w:t>
      </w:r>
      <w:r w:rsidRPr="000A0BFB">
        <w:rPr>
          <w:rFonts w:ascii="Arial" w:hAnsi="Arial" w:cs="Arial"/>
        </w:rPr>
        <w:t xml:space="preserve">the customer </w:t>
      </w:r>
      <w:r w:rsidR="00330373" w:rsidRPr="000A0BFB">
        <w:rPr>
          <w:rFonts w:ascii="Arial" w:hAnsi="Arial" w:cs="Arial"/>
        </w:rPr>
        <w:t>risk profile</w:t>
      </w:r>
      <w:r w:rsidR="00132488">
        <w:rPr>
          <w:rFonts w:ascii="Arial" w:hAnsi="Arial" w:cs="Arial"/>
        </w:rPr>
        <w:t xml:space="preserve"> </w:t>
      </w:r>
      <w:r w:rsidR="007546C7">
        <w:rPr>
          <w:rFonts w:ascii="Arial" w:hAnsi="Arial" w:cs="Arial"/>
        </w:rPr>
        <w:t>s</w:t>
      </w:r>
      <w:r w:rsidRPr="000A0BFB">
        <w:rPr>
          <w:rFonts w:ascii="Arial" w:hAnsi="Arial" w:cs="Arial"/>
        </w:rPr>
        <w:t xml:space="preserve">and willingness to pay upfront </w:t>
      </w:r>
      <w:r w:rsidR="00330373" w:rsidRPr="000A0BFB">
        <w:rPr>
          <w:rFonts w:ascii="Arial" w:hAnsi="Arial" w:cs="Arial"/>
        </w:rPr>
        <w:t xml:space="preserve">and could </w:t>
      </w:r>
      <w:r w:rsidRPr="000A0BFB">
        <w:rPr>
          <w:rFonts w:ascii="Arial" w:hAnsi="Arial" w:cs="Arial"/>
        </w:rPr>
        <w:t xml:space="preserve">therefore </w:t>
      </w:r>
      <w:r w:rsidR="00330373" w:rsidRPr="000A0BFB">
        <w:rPr>
          <w:rFonts w:ascii="Arial" w:hAnsi="Arial" w:cs="Arial"/>
        </w:rPr>
        <w:t xml:space="preserve">structure the project to cover the developers in case projections were not met. Additionally, since </w:t>
      </w:r>
      <w:r w:rsidRPr="000A0BFB">
        <w:rPr>
          <w:rFonts w:ascii="Arial" w:hAnsi="Arial" w:cs="Arial"/>
        </w:rPr>
        <w:t xml:space="preserve">low income customers </w:t>
      </w:r>
      <w:r w:rsidR="00330373" w:rsidRPr="000A0BFB">
        <w:rPr>
          <w:rFonts w:ascii="Arial" w:hAnsi="Arial" w:cs="Arial"/>
        </w:rPr>
        <w:t xml:space="preserve">were included from project conception, </w:t>
      </w:r>
      <w:r w:rsidRPr="000A0BFB">
        <w:rPr>
          <w:rFonts w:ascii="Arial" w:hAnsi="Arial" w:cs="Arial"/>
        </w:rPr>
        <w:t xml:space="preserve">their inclusion added to the transparency of the </w:t>
      </w:r>
      <w:r w:rsidR="00330373" w:rsidRPr="000A0BFB">
        <w:rPr>
          <w:rFonts w:ascii="Arial" w:hAnsi="Arial" w:cs="Arial"/>
        </w:rPr>
        <w:t>process</w:t>
      </w:r>
      <w:r w:rsidRPr="000A0BFB">
        <w:rPr>
          <w:rFonts w:ascii="Arial" w:hAnsi="Arial" w:cs="Arial"/>
        </w:rPr>
        <w:t xml:space="preserve">, </w:t>
      </w:r>
      <w:r w:rsidR="00330373" w:rsidRPr="000A0BFB">
        <w:rPr>
          <w:rFonts w:ascii="Arial" w:hAnsi="Arial" w:cs="Arial"/>
        </w:rPr>
        <w:t xml:space="preserve">and </w:t>
      </w:r>
      <w:r w:rsidRPr="000A0BFB">
        <w:rPr>
          <w:rFonts w:ascii="Arial" w:hAnsi="Arial" w:cs="Arial"/>
        </w:rPr>
        <w:t xml:space="preserve">consequently, </w:t>
      </w:r>
      <w:r w:rsidR="00330373" w:rsidRPr="000A0BFB">
        <w:rPr>
          <w:rFonts w:ascii="Arial" w:hAnsi="Arial" w:cs="Arial"/>
        </w:rPr>
        <w:t xml:space="preserve">the municipality could ask members of the community to contribute to the capital expenditure program. </w:t>
      </w:r>
    </w:p>
    <w:p w:rsidR="004E4619" w:rsidRPr="000A0BFB" w:rsidRDefault="00330373" w:rsidP="00F2332A">
      <w:pPr>
        <w:jc w:val="both"/>
        <w:rPr>
          <w:rFonts w:ascii="Arial" w:hAnsi="Arial" w:cs="Arial"/>
        </w:rPr>
      </w:pPr>
      <w:r w:rsidRPr="000A0BFB">
        <w:rPr>
          <w:rFonts w:ascii="Arial" w:hAnsi="Arial" w:cs="Arial"/>
        </w:rPr>
        <w:t xml:space="preserve">Another common thread through all the </w:t>
      </w:r>
      <w:r w:rsidR="00F2332A" w:rsidRPr="000A0BFB">
        <w:rPr>
          <w:rFonts w:ascii="Arial" w:hAnsi="Arial" w:cs="Arial"/>
        </w:rPr>
        <w:t xml:space="preserve">successful low income targeting </w:t>
      </w:r>
      <w:r w:rsidRPr="000A0BFB">
        <w:rPr>
          <w:rFonts w:ascii="Arial" w:hAnsi="Arial" w:cs="Arial"/>
        </w:rPr>
        <w:t xml:space="preserve">projects was the fact </w:t>
      </w:r>
      <w:r w:rsidR="004E4619" w:rsidRPr="000A0BFB">
        <w:rPr>
          <w:rFonts w:ascii="Arial" w:hAnsi="Arial" w:cs="Arial"/>
        </w:rPr>
        <w:t xml:space="preserve">that </w:t>
      </w:r>
      <w:r w:rsidRPr="00AC44D0">
        <w:rPr>
          <w:rFonts w:ascii="Arial" w:hAnsi="Arial" w:cs="Arial"/>
          <w:b/>
        </w:rPr>
        <w:t>contract</w:t>
      </w:r>
      <w:r w:rsidR="004E4619" w:rsidRPr="00AC44D0">
        <w:rPr>
          <w:rFonts w:ascii="Arial" w:hAnsi="Arial" w:cs="Arial"/>
          <w:b/>
        </w:rPr>
        <w:t>s</w:t>
      </w:r>
      <w:r w:rsidR="00F2332A" w:rsidRPr="00AC44D0">
        <w:rPr>
          <w:rFonts w:ascii="Arial" w:hAnsi="Arial" w:cs="Arial"/>
          <w:b/>
        </w:rPr>
        <w:t>(e.g., concession agreements)</w:t>
      </w:r>
      <w:r w:rsidRPr="00AC44D0">
        <w:rPr>
          <w:rFonts w:ascii="Arial" w:hAnsi="Arial" w:cs="Arial"/>
          <w:b/>
        </w:rPr>
        <w:t xml:space="preserve"> explicitly </w:t>
      </w:r>
      <w:r w:rsidR="00F2332A" w:rsidRPr="00AC44D0">
        <w:rPr>
          <w:rFonts w:ascii="Arial" w:hAnsi="Arial" w:cs="Arial"/>
          <w:b/>
        </w:rPr>
        <w:t xml:space="preserve">highlighted that </w:t>
      </w:r>
      <w:r w:rsidRPr="00AC44D0">
        <w:rPr>
          <w:rFonts w:ascii="Arial" w:hAnsi="Arial" w:cs="Arial"/>
          <w:b/>
        </w:rPr>
        <w:t>increasing coverage to all sectors including the low income sector was paramount to the project</w:t>
      </w:r>
      <w:r w:rsidRPr="000A0BFB">
        <w:rPr>
          <w:rFonts w:ascii="Arial" w:hAnsi="Arial" w:cs="Arial"/>
        </w:rPr>
        <w:t>. The public sector did not assume that coverage would automatically increase with the engagement of the private sector.</w:t>
      </w:r>
      <w:r w:rsidR="009B0BFD">
        <w:rPr>
          <w:rFonts w:ascii="Arial" w:hAnsi="Arial" w:cs="Arial"/>
        </w:rPr>
        <w:t xml:space="preserve"> It needed to be included as a contractual obligation.  </w:t>
      </w:r>
    </w:p>
    <w:p w:rsidR="00330373" w:rsidRPr="000A0BFB" w:rsidRDefault="004E4619" w:rsidP="00F2332A">
      <w:pPr>
        <w:jc w:val="both"/>
        <w:rPr>
          <w:rFonts w:ascii="Arial" w:hAnsi="Arial" w:cs="Arial"/>
        </w:rPr>
      </w:pPr>
      <w:r w:rsidRPr="000A0BFB">
        <w:rPr>
          <w:rFonts w:ascii="Arial" w:hAnsi="Arial" w:cs="Arial"/>
        </w:rPr>
        <w:t xml:space="preserve">Finally, there needs to be </w:t>
      </w:r>
      <w:r w:rsidRPr="00AC44D0">
        <w:rPr>
          <w:rFonts w:ascii="Arial" w:hAnsi="Arial" w:cs="Arial"/>
          <w:b/>
        </w:rPr>
        <w:t>clear political will and impetus</w:t>
      </w:r>
      <w:r w:rsidRPr="000A0BFB">
        <w:rPr>
          <w:rFonts w:ascii="Arial" w:hAnsi="Arial" w:cs="Arial"/>
        </w:rPr>
        <w:t xml:space="preserve"> in order to promote and defend the project</w:t>
      </w:r>
      <w:r w:rsidR="001743AC">
        <w:rPr>
          <w:rFonts w:ascii="Arial" w:hAnsi="Arial" w:cs="Arial"/>
        </w:rPr>
        <w:t>, and its attempts to expand access among the underserved</w:t>
      </w:r>
      <w:r w:rsidRPr="000A0BFB">
        <w:rPr>
          <w:rFonts w:ascii="Arial" w:hAnsi="Arial" w:cs="Arial"/>
        </w:rPr>
        <w:t xml:space="preserve">. As the Alandur case demonstrated, the presence and drive of the chairman with legitimacy with the local community was a factor in </w:t>
      </w:r>
      <w:r w:rsidR="007546C7">
        <w:rPr>
          <w:rFonts w:ascii="Arial" w:hAnsi="Arial" w:cs="Arial"/>
        </w:rPr>
        <w:t xml:space="preserve">its </w:t>
      </w:r>
      <w:r w:rsidRPr="000A0BFB">
        <w:rPr>
          <w:rFonts w:ascii="Arial" w:hAnsi="Arial" w:cs="Arial"/>
        </w:rPr>
        <w:t>successful implementation. The South America case studies indicate that a catalyzing situation</w:t>
      </w:r>
      <w:r w:rsidR="008E7E58">
        <w:rPr>
          <w:rFonts w:ascii="Arial" w:hAnsi="Arial" w:cs="Arial"/>
        </w:rPr>
        <w:t xml:space="preserve"> can also be helpful</w:t>
      </w:r>
      <w:r w:rsidRPr="000A0BFB">
        <w:rPr>
          <w:rFonts w:ascii="Arial" w:hAnsi="Arial" w:cs="Arial"/>
        </w:rPr>
        <w:t xml:space="preserve">, a form of burning platform, to </w:t>
      </w:r>
      <w:r w:rsidR="002950F0" w:rsidRPr="000A0BFB">
        <w:rPr>
          <w:rFonts w:ascii="Arial" w:hAnsi="Arial" w:cs="Arial"/>
        </w:rPr>
        <w:t>enable</w:t>
      </w:r>
      <w:r w:rsidRPr="000A0BFB">
        <w:rPr>
          <w:rFonts w:ascii="Arial" w:hAnsi="Arial" w:cs="Arial"/>
        </w:rPr>
        <w:t xml:space="preserve"> politicians to make difficult </w:t>
      </w:r>
      <w:r w:rsidR="007546C7">
        <w:rPr>
          <w:rFonts w:ascii="Arial" w:hAnsi="Arial" w:cs="Arial"/>
        </w:rPr>
        <w:t xml:space="preserve">decisions </w:t>
      </w:r>
      <w:r w:rsidRPr="000A0BFB">
        <w:rPr>
          <w:rFonts w:ascii="Arial" w:hAnsi="Arial" w:cs="Arial"/>
        </w:rPr>
        <w:t xml:space="preserve">that might be unpopular. However, as the Croatia case indicates, the presence of political will, as well as the burning platform (in the form of EU regulations) might not be enough if the process isn’t </w:t>
      </w:r>
      <w:r w:rsidR="002950F0" w:rsidRPr="000A0BFB">
        <w:rPr>
          <w:rFonts w:ascii="Arial" w:hAnsi="Arial" w:cs="Arial"/>
        </w:rPr>
        <w:t xml:space="preserve">performed transparently. </w:t>
      </w:r>
    </w:p>
    <w:p w:rsidR="00534122" w:rsidRDefault="00534122" w:rsidP="00F2332A">
      <w:pPr>
        <w:jc w:val="both"/>
        <w:rPr>
          <w:rFonts w:ascii="Arial" w:hAnsi="Arial" w:cs="Arial"/>
        </w:rPr>
      </w:pPr>
      <w:r w:rsidRPr="000A0BFB">
        <w:rPr>
          <w:rFonts w:ascii="Arial" w:hAnsi="Arial" w:cs="Arial"/>
        </w:rPr>
        <w:t xml:space="preserve">As PPP projects continue to be launched within the wastewater sector </w:t>
      </w:r>
      <w:r w:rsidR="001E4F43">
        <w:rPr>
          <w:rFonts w:ascii="Arial" w:hAnsi="Arial" w:cs="Arial"/>
        </w:rPr>
        <w:t xml:space="preserve">in the developing world, </w:t>
      </w:r>
      <w:r w:rsidRPr="000A0BFB">
        <w:rPr>
          <w:rFonts w:ascii="Arial" w:hAnsi="Arial" w:cs="Arial"/>
        </w:rPr>
        <w:t>(</w:t>
      </w:r>
      <w:r w:rsidR="00CA3055">
        <w:rPr>
          <w:rFonts w:ascii="Arial" w:hAnsi="Arial" w:cs="Arial"/>
        </w:rPr>
        <w:t xml:space="preserve">such </w:t>
      </w:r>
      <w:r w:rsidRPr="000A0BFB">
        <w:rPr>
          <w:rFonts w:ascii="Arial" w:hAnsi="Arial" w:cs="Arial"/>
        </w:rPr>
        <w:t xml:space="preserve">as </w:t>
      </w:r>
      <w:r w:rsidR="00CA3055">
        <w:rPr>
          <w:rFonts w:ascii="Arial" w:hAnsi="Arial" w:cs="Arial"/>
        </w:rPr>
        <w:t xml:space="preserve">those </w:t>
      </w:r>
      <w:r w:rsidRPr="000A0BFB">
        <w:rPr>
          <w:rFonts w:ascii="Arial" w:hAnsi="Arial" w:cs="Arial"/>
        </w:rPr>
        <w:t xml:space="preserve">shown in Table </w:t>
      </w:r>
      <w:r w:rsidR="00E91099">
        <w:rPr>
          <w:rFonts w:ascii="Arial" w:hAnsi="Arial" w:cs="Arial"/>
        </w:rPr>
        <w:t>4</w:t>
      </w:r>
      <w:r w:rsidRPr="000A0BFB">
        <w:rPr>
          <w:rFonts w:ascii="Arial" w:hAnsi="Arial" w:cs="Arial"/>
        </w:rPr>
        <w:t xml:space="preserve">), there is ample opportunity to apply the lessons from these case studies and build on the existing body of knowledge. </w:t>
      </w:r>
    </w:p>
    <w:p w:rsidR="00534122" w:rsidRPr="000A0BFB" w:rsidRDefault="00534122" w:rsidP="00534122">
      <w:pPr>
        <w:rPr>
          <w:rFonts w:ascii="Arial" w:hAnsi="Arial" w:cs="Arial"/>
          <w:b/>
        </w:rPr>
      </w:pPr>
      <w:r w:rsidRPr="000A0BFB">
        <w:rPr>
          <w:rFonts w:ascii="Arial" w:hAnsi="Arial" w:cs="Arial"/>
          <w:b/>
        </w:rPr>
        <w:t xml:space="preserve">Table </w:t>
      </w:r>
      <w:r w:rsidR="00F2332A" w:rsidRPr="000A0BFB">
        <w:rPr>
          <w:rFonts w:ascii="Arial" w:hAnsi="Arial" w:cs="Arial"/>
          <w:b/>
        </w:rPr>
        <w:t>4</w:t>
      </w:r>
      <w:r w:rsidRPr="000A0BFB">
        <w:rPr>
          <w:rFonts w:ascii="Arial" w:hAnsi="Arial" w:cs="Arial"/>
          <w:b/>
        </w:rPr>
        <w:t xml:space="preserve">: Other Wastewater PPP Projects in Process </w:t>
      </w:r>
    </w:p>
    <w:tbl>
      <w:tblPr>
        <w:tblStyle w:val="LightList-Accent5"/>
        <w:tblW w:w="9018" w:type="dxa"/>
        <w:tblLook w:val="04A0" w:firstRow="1" w:lastRow="0" w:firstColumn="1" w:lastColumn="0" w:noHBand="0" w:noVBand="1"/>
      </w:tblPr>
      <w:tblGrid>
        <w:gridCol w:w="1383"/>
        <w:gridCol w:w="1797"/>
        <w:gridCol w:w="1529"/>
        <w:gridCol w:w="2779"/>
        <w:gridCol w:w="1530"/>
      </w:tblGrid>
      <w:tr w:rsidR="00534122" w:rsidRPr="000A0BFB" w:rsidTr="00A626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3" w:type="dxa"/>
            <w:shd w:val="clear" w:color="auto" w:fill="002060"/>
          </w:tcPr>
          <w:p w:rsidR="00534122" w:rsidRPr="000A0BFB" w:rsidRDefault="00534122" w:rsidP="00534122">
            <w:pPr>
              <w:rPr>
                <w:rFonts w:ascii="Arial" w:hAnsi="Arial" w:cs="Arial"/>
              </w:rPr>
            </w:pPr>
            <w:r w:rsidRPr="000A0BFB">
              <w:rPr>
                <w:rFonts w:ascii="Arial" w:hAnsi="Arial" w:cs="Arial"/>
              </w:rPr>
              <w:t>City, Country</w:t>
            </w:r>
          </w:p>
        </w:tc>
        <w:tc>
          <w:tcPr>
            <w:tcW w:w="1797" w:type="dxa"/>
            <w:shd w:val="clear" w:color="auto" w:fill="002060"/>
          </w:tcPr>
          <w:p w:rsidR="00534122" w:rsidRPr="000A0BFB" w:rsidRDefault="00534122" w:rsidP="0053412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A0BFB">
              <w:rPr>
                <w:rFonts w:ascii="Arial" w:hAnsi="Arial" w:cs="Arial"/>
              </w:rPr>
              <w:t>Project Name</w:t>
            </w:r>
          </w:p>
        </w:tc>
        <w:tc>
          <w:tcPr>
            <w:tcW w:w="1529" w:type="dxa"/>
            <w:shd w:val="clear" w:color="auto" w:fill="002060"/>
          </w:tcPr>
          <w:p w:rsidR="00534122" w:rsidRPr="000A0BFB" w:rsidRDefault="00534122" w:rsidP="0053412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A0BFB">
              <w:rPr>
                <w:rFonts w:ascii="Arial" w:hAnsi="Arial" w:cs="Arial"/>
              </w:rPr>
              <w:t>Public Entity</w:t>
            </w:r>
          </w:p>
        </w:tc>
        <w:tc>
          <w:tcPr>
            <w:tcW w:w="2779" w:type="dxa"/>
            <w:shd w:val="clear" w:color="auto" w:fill="002060"/>
          </w:tcPr>
          <w:p w:rsidR="00534122" w:rsidRPr="000A0BFB" w:rsidRDefault="00534122" w:rsidP="0053412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A0BFB">
              <w:rPr>
                <w:rFonts w:ascii="Arial" w:hAnsi="Arial" w:cs="Arial"/>
              </w:rPr>
              <w:t>Private Entity</w:t>
            </w:r>
          </w:p>
        </w:tc>
        <w:tc>
          <w:tcPr>
            <w:tcW w:w="1530" w:type="dxa"/>
            <w:shd w:val="clear" w:color="auto" w:fill="002060"/>
          </w:tcPr>
          <w:p w:rsidR="00534122" w:rsidRPr="000A0BFB" w:rsidRDefault="00534122" w:rsidP="0053412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A0BFB">
              <w:rPr>
                <w:rFonts w:ascii="Arial" w:hAnsi="Arial" w:cs="Arial"/>
              </w:rPr>
              <w:t>Project Value (US$)</w:t>
            </w:r>
          </w:p>
        </w:tc>
      </w:tr>
      <w:tr w:rsidR="00534122" w:rsidRPr="000A0BFB" w:rsidTr="0053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534122" w:rsidRPr="000A0BFB" w:rsidRDefault="00534122" w:rsidP="00534122">
            <w:pPr>
              <w:rPr>
                <w:rFonts w:ascii="Arial" w:hAnsi="Arial" w:cs="Arial"/>
                <w:b w:val="0"/>
                <w:sz w:val="20"/>
              </w:rPr>
            </w:pPr>
            <w:r w:rsidRPr="000A0BFB">
              <w:rPr>
                <w:rFonts w:ascii="Arial" w:hAnsi="Arial" w:cs="Arial"/>
                <w:b w:val="0"/>
                <w:sz w:val="20"/>
              </w:rPr>
              <w:t xml:space="preserve">Manila, Philippines </w:t>
            </w:r>
          </w:p>
        </w:tc>
        <w:tc>
          <w:tcPr>
            <w:tcW w:w="1797" w:type="dxa"/>
          </w:tcPr>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0BFB">
              <w:rPr>
                <w:rFonts w:ascii="Arial" w:hAnsi="Arial" w:cs="Arial"/>
                <w:sz w:val="20"/>
              </w:rPr>
              <w:t>Metro Manila Wastewater Management Project (MWMP)</w:t>
            </w:r>
          </w:p>
        </w:tc>
        <w:tc>
          <w:tcPr>
            <w:tcW w:w="1529" w:type="dxa"/>
          </w:tcPr>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0BFB">
              <w:rPr>
                <w:rFonts w:ascii="Arial" w:hAnsi="Arial" w:cs="Arial"/>
                <w:sz w:val="20"/>
              </w:rPr>
              <w:t>Government of the Philippines</w:t>
            </w:r>
          </w:p>
        </w:tc>
        <w:tc>
          <w:tcPr>
            <w:tcW w:w="2779" w:type="dxa"/>
          </w:tcPr>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0BFB">
              <w:rPr>
                <w:rFonts w:ascii="Arial" w:hAnsi="Arial" w:cs="Arial"/>
                <w:sz w:val="20"/>
              </w:rPr>
              <w:t>Manila Water Company, Inc. (MWCI)</w:t>
            </w:r>
          </w:p>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30" w:type="dxa"/>
          </w:tcPr>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0BFB">
              <w:rPr>
                <w:rFonts w:ascii="Arial" w:hAnsi="Arial" w:cs="Arial"/>
                <w:sz w:val="20"/>
              </w:rPr>
              <w:t xml:space="preserve">$275 million </w:t>
            </w:r>
          </w:p>
        </w:tc>
      </w:tr>
      <w:tr w:rsidR="00534122" w:rsidRPr="000A0BFB" w:rsidTr="00534122">
        <w:tc>
          <w:tcPr>
            <w:cnfStyle w:val="001000000000" w:firstRow="0" w:lastRow="0" w:firstColumn="1" w:lastColumn="0" w:oddVBand="0" w:evenVBand="0" w:oddHBand="0" w:evenHBand="0" w:firstRowFirstColumn="0" w:firstRowLastColumn="0" w:lastRowFirstColumn="0" w:lastRowLastColumn="0"/>
            <w:tcW w:w="1383" w:type="dxa"/>
          </w:tcPr>
          <w:p w:rsidR="00534122" w:rsidRPr="000A0BFB" w:rsidRDefault="00534122" w:rsidP="00534122">
            <w:pPr>
              <w:rPr>
                <w:rFonts w:ascii="Arial" w:hAnsi="Arial" w:cs="Arial"/>
                <w:b w:val="0"/>
                <w:sz w:val="20"/>
              </w:rPr>
            </w:pPr>
            <w:r w:rsidRPr="000A0BFB">
              <w:rPr>
                <w:rFonts w:ascii="Arial" w:hAnsi="Arial" w:cs="Arial"/>
                <w:b w:val="0"/>
                <w:sz w:val="20"/>
              </w:rPr>
              <w:t>Jakarta, Indonesia</w:t>
            </w:r>
          </w:p>
        </w:tc>
        <w:tc>
          <w:tcPr>
            <w:tcW w:w="1797" w:type="dxa"/>
          </w:tcPr>
          <w:p w:rsidR="00534122" w:rsidRPr="000A0BFB" w:rsidRDefault="00534122" w:rsidP="005341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0BFB">
              <w:rPr>
                <w:rFonts w:ascii="Arial" w:hAnsi="Arial" w:cs="Arial"/>
                <w:sz w:val="20"/>
              </w:rPr>
              <w:t xml:space="preserve">Zone One of SKI Jakarta Sewerage Treatment Plant </w:t>
            </w:r>
          </w:p>
        </w:tc>
        <w:tc>
          <w:tcPr>
            <w:tcW w:w="1529" w:type="dxa"/>
          </w:tcPr>
          <w:p w:rsidR="00534122" w:rsidRPr="000A0BFB" w:rsidRDefault="00534122" w:rsidP="005341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0BFB">
              <w:rPr>
                <w:rFonts w:ascii="Arial" w:hAnsi="Arial" w:cs="Arial"/>
                <w:sz w:val="20"/>
              </w:rPr>
              <w:t>Ministry of Public Works</w:t>
            </w:r>
          </w:p>
        </w:tc>
        <w:tc>
          <w:tcPr>
            <w:tcW w:w="2779" w:type="dxa"/>
          </w:tcPr>
          <w:p w:rsidR="00534122" w:rsidRPr="000A0BFB" w:rsidRDefault="00534122" w:rsidP="005341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0BFB">
              <w:rPr>
                <w:rFonts w:ascii="Arial" w:hAnsi="Arial" w:cs="Arial"/>
                <w:sz w:val="20"/>
              </w:rPr>
              <w:t>Jakarta Sewerage</w:t>
            </w:r>
          </w:p>
        </w:tc>
        <w:tc>
          <w:tcPr>
            <w:tcW w:w="1530" w:type="dxa"/>
          </w:tcPr>
          <w:p w:rsidR="00534122" w:rsidRPr="000A0BFB" w:rsidRDefault="00534122" w:rsidP="005341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0BFB">
              <w:rPr>
                <w:rFonts w:ascii="Arial" w:hAnsi="Arial" w:cs="Arial"/>
                <w:sz w:val="20"/>
              </w:rPr>
              <w:t>$174 million</w:t>
            </w:r>
          </w:p>
        </w:tc>
      </w:tr>
      <w:tr w:rsidR="00534122" w:rsidRPr="000A0BFB" w:rsidTr="0053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534122" w:rsidRPr="000A0BFB" w:rsidRDefault="00534122" w:rsidP="00534122">
            <w:pPr>
              <w:rPr>
                <w:rFonts w:ascii="Arial" w:hAnsi="Arial" w:cs="Arial"/>
                <w:b w:val="0"/>
                <w:sz w:val="20"/>
              </w:rPr>
            </w:pPr>
            <w:r w:rsidRPr="000A0BFB">
              <w:rPr>
                <w:rFonts w:ascii="Arial" w:hAnsi="Arial" w:cs="Arial"/>
                <w:b w:val="0"/>
                <w:sz w:val="20"/>
              </w:rPr>
              <w:t xml:space="preserve">Aurangabad City, India  </w:t>
            </w:r>
          </w:p>
        </w:tc>
        <w:tc>
          <w:tcPr>
            <w:tcW w:w="1797" w:type="dxa"/>
          </w:tcPr>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0BFB">
              <w:rPr>
                <w:rFonts w:ascii="Arial" w:hAnsi="Arial" w:cs="Arial"/>
                <w:sz w:val="20"/>
              </w:rPr>
              <w:t xml:space="preserve">Underground Sewerage Scheme in Aurangabad City </w:t>
            </w:r>
          </w:p>
        </w:tc>
        <w:tc>
          <w:tcPr>
            <w:tcW w:w="1529" w:type="dxa"/>
          </w:tcPr>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0BFB">
              <w:rPr>
                <w:rFonts w:ascii="Arial" w:hAnsi="Arial" w:cs="Arial"/>
                <w:sz w:val="20"/>
              </w:rPr>
              <w:t>Aurangabad Municipal Corporation</w:t>
            </w:r>
          </w:p>
        </w:tc>
        <w:tc>
          <w:tcPr>
            <w:tcW w:w="2779" w:type="dxa"/>
          </w:tcPr>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0BFB">
              <w:rPr>
                <w:rFonts w:ascii="Arial" w:hAnsi="Arial" w:cs="Arial"/>
                <w:sz w:val="20"/>
              </w:rPr>
              <w:t>Aurangabad City Water Utility Company Limited and  Urban Infrastructure Development Scheme for Small and Medium Towns</w:t>
            </w:r>
          </w:p>
        </w:tc>
        <w:tc>
          <w:tcPr>
            <w:tcW w:w="1530" w:type="dxa"/>
          </w:tcPr>
          <w:p w:rsidR="00534122" w:rsidRPr="000A0BFB" w:rsidRDefault="00534122" w:rsidP="005341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0BFB">
              <w:rPr>
                <w:rFonts w:ascii="Arial" w:hAnsi="Arial" w:cs="Arial"/>
                <w:sz w:val="20"/>
              </w:rPr>
              <w:t>$144 million</w:t>
            </w:r>
          </w:p>
        </w:tc>
      </w:tr>
    </w:tbl>
    <w:p w:rsidR="004F46E7" w:rsidRPr="000A0BFB" w:rsidRDefault="004F46E7" w:rsidP="008670BC">
      <w:pPr>
        <w:rPr>
          <w:rFonts w:ascii="Arial" w:hAnsi="Arial" w:cs="Arial"/>
          <w:b/>
        </w:rPr>
      </w:pPr>
    </w:p>
    <w:sectPr w:rsidR="004F46E7" w:rsidRPr="000A0BFB" w:rsidSect="00DB0A27">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09" w:rsidRDefault="00FC1A09" w:rsidP="003E5BF6">
      <w:pPr>
        <w:spacing w:after="0" w:line="240" w:lineRule="auto"/>
      </w:pPr>
      <w:r>
        <w:separator/>
      </w:r>
    </w:p>
  </w:endnote>
  <w:endnote w:type="continuationSeparator" w:id="0">
    <w:p w:rsidR="00FC1A09" w:rsidRDefault="00FC1A09" w:rsidP="003E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34380"/>
      <w:docPartObj>
        <w:docPartGallery w:val="Page Numbers (Bottom of Page)"/>
        <w:docPartUnique/>
      </w:docPartObj>
    </w:sdtPr>
    <w:sdtEndPr>
      <w:rPr>
        <w:noProof/>
      </w:rPr>
    </w:sdtEndPr>
    <w:sdtContent>
      <w:p w:rsidR="0058392B" w:rsidRDefault="0058392B">
        <w:pPr>
          <w:pStyle w:val="Footer"/>
          <w:jc w:val="right"/>
        </w:pPr>
        <w:r>
          <w:fldChar w:fldCharType="begin"/>
        </w:r>
        <w:r>
          <w:instrText xml:space="preserve"> PAGE   \* MERGEFORMAT </w:instrText>
        </w:r>
        <w:r>
          <w:fldChar w:fldCharType="separate"/>
        </w:r>
        <w:r w:rsidR="00310D4D">
          <w:rPr>
            <w:noProof/>
          </w:rPr>
          <w:t>19</w:t>
        </w:r>
        <w:r>
          <w:rPr>
            <w:noProof/>
          </w:rPr>
          <w:fldChar w:fldCharType="end"/>
        </w:r>
      </w:p>
    </w:sdtContent>
  </w:sdt>
  <w:p w:rsidR="0058392B" w:rsidRDefault="00583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09" w:rsidRDefault="00FC1A09" w:rsidP="003E5BF6">
      <w:pPr>
        <w:spacing w:after="0" w:line="240" w:lineRule="auto"/>
      </w:pPr>
      <w:r>
        <w:separator/>
      </w:r>
    </w:p>
  </w:footnote>
  <w:footnote w:type="continuationSeparator" w:id="0">
    <w:p w:rsidR="00FC1A09" w:rsidRDefault="00FC1A09" w:rsidP="003E5BF6">
      <w:pPr>
        <w:spacing w:after="0" w:line="240" w:lineRule="auto"/>
      </w:pPr>
      <w:r>
        <w:continuationSeparator/>
      </w:r>
    </w:p>
  </w:footnote>
  <w:footnote w:id="1">
    <w:p w:rsidR="0058392B" w:rsidRDefault="0058392B" w:rsidP="00F3734D">
      <w:pPr>
        <w:pStyle w:val="FootnoteText"/>
      </w:pPr>
      <w:r>
        <w:rPr>
          <w:rStyle w:val="FootnoteReference"/>
        </w:rPr>
        <w:footnoteRef/>
      </w:r>
      <w:r w:rsidRPr="00490C6C">
        <w:rPr>
          <w:rFonts w:ascii="Arial" w:hAnsi="Arial" w:cs="Arial"/>
          <w:sz w:val="18"/>
        </w:rPr>
        <w:t xml:space="preserve">Marin, Philippe, </w:t>
      </w:r>
      <w:r w:rsidRPr="008853EA">
        <w:rPr>
          <w:rFonts w:ascii="Arial" w:hAnsi="Arial" w:cs="Arial"/>
          <w:i/>
          <w:sz w:val="18"/>
        </w:rPr>
        <w:t>Public-Private Partnerships for Urban Utilities</w:t>
      </w:r>
      <w:r w:rsidRPr="00490C6C">
        <w:rPr>
          <w:rFonts w:ascii="Arial" w:hAnsi="Arial" w:cs="Arial"/>
          <w:sz w:val="18"/>
        </w:rPr>
        <w:t>, World Bank, 2009</w:t>
      </w:r>
      <w:r>
        <w:rPr>
          <w:rFonts w:ascii="Arial" w:hAnsi="Arial" w:cs="Arial"/>
          <w:sz w:val="18"/>
        </w:rPr>
        <w:t>.</w:t>
      </w:r>
    </w:p>
  </w:footnote>
  <w:footnote w:id="2">
    <w:p w:rsidR="0058392B" w:rsidRPr="001034C3" w:rsidRDefault="0058392B">
      <w:pPr>
        <w:pStyle w:val="FootnoteText"/>
        <w:rPr>
          <w:rFonts w:ascii="Arial" w:hAnsi="Arial" w:cs="Arial"/>
        </w:rPr>
      </w:pPr>
      <w:r w:rsidRPr="001034C3">
        <w:rPr>
          <w:rStyle w:val="FootnoteReference"/>
          <w:rFonts w:ascii="Arial" w:hAnsi="Arial" w:cs="Arial"/>
        </w:rPr>
        <w:footnoteRef/>
      </w:r>
      <w:r>
        <w:rPr>
          <w:rFonts w:ascii="Arial" w:hAnsi="Arial" w:cs="Arial"/>
        </w:rPr>
        <w:t>Ibid.</w:t>
      </w:r>
    </w:p>
  </w:footnote>
  <w:footnote w:id="3">
    <w:p w:rsidR="0058392B" w:rsidRPr="001034C3" w:rsidRDefault="0058392B" w:rsidP="00D62831">
      <w:pPr>
        <w:pStyle w:val="FootnoteText"/>
        <w:rPr>
          <w:rFonts w:ascii="Arial" w:hAnsi="Arial" w:cs="Arial"/>
          <w:sz w:val="18"/>
          <w:szCs w:val="18"/>
        </w:rPr>
      </w:pPr>
      <w:r w:rsidRPr="001034C3">
        <w:rPr>
          <w:rStyle w:val="FootnoteReference"/>
          <w:rFonts w:ascii="Arial" w:hAnsi="Arial" w:cs="Arial"/>
          <w:sz w:val="18"/>
          <w:szCs w:val="18"/>
        </w:rPr>
        <w:footnoteRef/>
      </w:r>
      <w:r>
        <w:rPr>
          <w:rFonts w:ascii="Arial" w:hAnsi="Arial" w:cs="Arial"/>
          <w:sz w:val="18"/>
          <w:szCs w:val="18"/>
        </w:rPr>
        <w:t xml:space="preserve">Mohan, </w:t>
      </w:r>
      <w:r w:rsidRPr="00CB44C6">
        <w:rPr>
          <w:rFonts w:ascii="Arial" w:hAnsi="Arial" w:cs="Arial"/>
          <w:i/>
          <w:sz w:val="18"/>
          <w:szCs w:val="18"/>
        </w:rPr>
        <w:t>Alandur Sewerage Project: Innovative Community Involvement in PPP Model</w:t>
      </w:r>
      <w:r>
        <w:rPr>
          <w:rFonts w:ascii="Arial" w:hAnsi="Arial" w:cs="Arial"/>
          <w:sz w:val="18"/>
          <w:szCs w:val="18"/>
        </w:rPr>
        <w:t xml:space="preserve">, 2013, </w:t>
      </w:r>
      <w:hyperlink r:id="rId1" w:history="1">
        <w:r w:rsidRPr="001034C3">
          <w:rPr>
            <w:rStyle w:val="Hyperlink"/>
            <w:rFonts w:ascii="Arial" w:hAnsi="Arial" w:cs="Arial"/>
            <w:sz w:val="18"/>
            <w:szCs w:val="18"/>
          </w:rPr>
          <w:t>http://www.slideshare.net/rockingruler/alandur-sewerage-proj-arun</w:t>
        </w:r>
      </w:hyperlink>
      <w:r>
        <w:rPr>
          <w:rFonts w:ascii="Arial" w:hAnsi="Arial" w:cs="Arial"/>
          <w:sz w:val="18"/>
          <w:szCs w:val="18"/>
        </w:rPr>
        <w:t>.</w:t>
      </w:r>
    </w:p>
  </w:footnote>
  <w:footnote w:id="4">
    <w:p w:rsidR="0058392B" w:rsidRPr="00E72D3A" w:rsidRDefault="0058392B" w:rsidP="00917D7D">
      <w:pPr>
        <w:pStyle w:val="FootnoteText"/>
        <w:rPr>
          <w:rFonts w:ascii="Arial" w:hAnsi="Arial" w:cs="Arial"/>
          <w:sz w:val="18"/>
          <w:szCs w:val="18"/>
        </w:rPr>
      </w:pPr>
      <w:r w:rsidRPr="00E72D3A">
        <w:rPr>
          <w:rStyle w:val="FootnoteReference"/>
          <w:rFonts w:ascii="Arial" w:hAnsi="Arial" w:cs="Arial"/>
          <w:sz w:val="18"/>
          <w:szCs w:val="18"/>
        </w:rPr>
        <w:footnoteRef/>
      </w:r>
      <w:r w:rsidRPr="00E72D3A">
        <w:rPr>
          <w:rFonts w:ascii="Arial" w:hAnsi="Arial" w:cs="Arial"/>
          <w:sz w:val="18"/>
          <w:szCs w:val="18"/>
        </w:rPr>
        <w:t xml:space="preserve"> Mathur, </w:t>
      </w:r>
      <w:r w:rsidRPr="00E72D3A">
        <w:rPr>
          <w:rFonts w:ascii="Arial" w:hAnsi="Arial" w:cs="Arial"/>
          <w:i/>
          <w:sz w:val="18"/>
          <w:szCs w:val="18"/>
        </w:rPr>
        <w:t>Alandur Sewerage Project: A success story of Public-Private Partnership Arrangements</w:t>
      </w:r>
      <w:r w:rsidRPr="00E72D3A">
        <w:rPr>
          <w:rFonts w:ascii="Arial" w:hAnsi="Arial" w:cs="Arial"/>
          <w:sz w:val="18"/>
          <w:szCs w:val="18"/>
        </w:rPr>
        <w:t xml:space="preserve">, 2002, </w:t>
      </w:r>
      <w:hyperlink r:id="rId2" w:history="1">
        <w:r w:rsidRPr="00E72D3A">
          <w:rPr>
            <w:rStyle w:val="Hyperlink"/>
            <w:rFonts w:ascii="Arial" w:hAnsi="Arial" w:cs="Arial"/>
            <w:sz w:val="18"/>
            <w:szCs w:val="18"/>
          </w:rPr>
          <w:t>http://www.developmentfunds.org/pubs/Alandur%20Sewerage%20Project.doc</w:t>
        </w:r>
      </w:hyperlink>
      <w:r w:rsidRPr="00E72D3A">
        <w:rPr>
          <w:rStyle w:val="Hyperlink"/>
          <w:rFonts w:ascii="Arial" w:hAnsi="Arial" w:cs="Arial"/>
          <w:sz w:val="18"/>
          <w:szCs w:val="18"/>
        </w:rPr>
        <w:t>.</w:t>
      </w:r>
    </w:p>
  </w:footnote>
  <w:footnote w:id="5">
    <w:p w:rsidR="0058392B" w:rsidRPr="00600098" w:rsidRDefault="0058392B" w:rsidP="00997AEB">
      <w:pPr>
        <w:pStyle w:val="FootnoteText"/>
        <w:rPr>
          <w:rFonts w:ascii="Arial" w:hAnsi="Arial" w:cs="Arial"/>
          <w:sz w:val="18"/>
        </w:rPr>
      </w:pPr>
      <w:r w:rsidRPr="00600098">
        <w:rPr>
          <w:rStyle w:val="FootnoteReference"/>
          <w:rFonts w:ascii="Arial" w:hAnsi="Arial" w:cs="Arial"/>
          <w:sz w:val="18"/>
        </w:rPr>
        <w:footnoteRef/>
      </w:r>
      <w:hyperlink r:id="rId3" w:history="1">
        <w:r w:rsidRPr="00600098">
          <w:rPr>
            <w:rStyle w:val="Hyperlink"/>
            <w:rFonts w:ascii="Arial" w:hAnsi="Arial" w:cs="Arial"/>
            <w:sz w:val="18"/>
          </w:rPr>
          <w:t>http://toolkit.pppinindia.com/highways/module3-rocs-asp8.php?links=asp8</w:t>
        </w:r>
      </w:hyperlink>
    </w:p>
  </w:footnote>
  <w:footnote w:id="6">
    <w:p w:rsidR="0058392B" w:rsidRPr="00600098" w:rsidRDefault="0058392B" w:rsidP="00A510AC">
      <w:pPr>
        <w:pStyle w:val="FootnoteText"/>
        <w:rPr>
          <w:rFonts w:ascii="Arial" w:hAnsi="Arial" w:cs="Arial"/>
          <w:sz w:val="18"/>
        </w:rPr>
      </w:pPr>
      <w:r w:rsidRPr="00600098">
        <w:rPr>
          <w:rStyle w:val="FootnoteReference"/>
          <w:rFonts w:ascii="Arial" w:hAnsi="Arial" w:cs="Arial"/>
          <w:sz w:val="18"/>
        </w:rPr>
        <w:footnoteRef/>
      </w:r>
      <w:hyperlink r:id="rId4" w:history="1">
        <w:r w:rsidRPr="00600098">
          <w:rPr>
            <w:rStyle w:val="Hyperlink"/>
            <w:rFonts w:ascii="Arial" w:hAnsi="Arial" w:cs="Arial"/>
            <w:sz w:val="18"/>
          </w:rPr>
          <w:t>http://www.iddkarnataka.gov.in/docs/CS_Alandur.pdf</w:t>
        </w:r>
      </w:hyperlink>
    </w:p>
  </w:footnote>
  <w:footnote w:id="7">
    <w:p w:rsidR="0058392B" w:rsidRDefault="0058392B" w:rsidP="00A510AC">
      <w:pPr>
        <w:pStyle w:val="FootnoteText"/>
      </w:pPr>
      <w:r w:rsidRPr="00600098">
        <w:rPr>
          <w:rStyle w:val="FootnoteReference"/>
          <w:rFonts w:ascii="Arial" w:hAnsi="Arial" w:cs="Arial"/>
          <w:sz w:val="18"/>
        </w:rPr>
        <w:footnoteRef/>
      </w:r>
      <w:hyperlink r:id="rId5" w:history="1">
        <w:r w:rsidRPr="00600098">
          <w:rPr>
            <w:rStyle w:val="Hyperlink"/>
            <w:rFonts w:ascii="Arial" w:hAnsi="Arial" w:cs="Arial"/>
            <w:sz w:val="18"/>
          </w:rPr>
          <w:t>http://rtichennai.cag.gov.in/rti-website/rti-chennai/download/CaseStudyPPP.pdf</w:t>
        </w:r>
      </w:hyperlink>
    </w:p>
  </w:footnote>
  <w:footnote w:id="8">
    <w:p w:rsidR="0058392B" w:rsidRPr="00600098" w:rsidRDefault="0058392B" w:rsidP="005F5D88">
      <w:pPr>
        <w:pStyle w:val="FootnoteText"/>
        <w:rPr>
          <w:rFonts w:ascii="Arial" w:hAnsi="Arial" w:cs="Arial"/>
          <w:sz w:val="18"/>
        </w:rPr>
      </w:pPr>
      <w:r w:rsidRPr="00600098">
        <w:rPr>
          <w:rStyle w:val="FootnoteReference"/>
          <w:rFonts w:ascii="Arial" w:hAnsi="Arial" w:cs="Arial"/>
          <w:sz w:val="18"/>
        </w:rPr>
        <w:footnoteRef/>
      </w:r>
      <w:r w:rsidRPr="00600098">
        <w:rPr>
          <w:rFonts w:ascii="Arial" w:hAnsi="Arial" w:cs="Arial"/>
          <w:sz w:val="18"/>
        </w:rPr>
        <w:t xml:space="preserve"> Mathur, Mukesh, Akabdyr Sewerage Project, A success story of public-private partnership arrangements, 2002.</w:t>
      </w:r>
    </w:p>
  </w:footnote>
  <w:footnote w:id="9">
    <w:p w:rsidR="0058392B" w:rsidRPr="00600098" w:rsidRDefault="0058392B" w:rsidP="00997AEB">
      <w:pPr>
        <w:pStyle w:val="FootnoteText"/>
        <w:rPr>
          <w:rFonts w:ascii="Arial" w:hAnsi="Arial" w:cs="Arial"/>
          <w:sz w:val="18"/>
          <w:szCs w:val="18"/>
        </w:rPr>
      </w:pPr>
      <w:r w:rsidRPr="00600098">
        <w:rPr>
          <w:rStyle w:val="FootnoteReference"/>
          <w:rFonts w:ascii="Arial" w:hAnsi="Arial" w:cs="Arial"/>
          <w:sz w:val="18"/>
          <w:szCs w:val="18"/>
        </w:rPr>
        <w:footnoteRef/>
      </w:r>
      <w:hyperlink r:id="rId6" w:history="1">
        <w:r w:rsidRPr="00600098">
          <w:rPr>
            <w:rStyle w:val="Hyperlink"/>
            <w:rFonts w:ascii="Arial" w:hAnsi="Arial" w:cs="Arial"/>
            <w:sz w:val="18"/>
            <w:szCs w:val="18"/>
          </w:rPr>
          <w:t>http://rtichennai.cag.gov.in/rti-website/rti-chennai/download/CaseStudyPPP.pdf</w:t>
        </w:r>
      </w:hyperlink>
    </w:p>
  </w:footnote>
  <w:footnote w:id="10">
    <w:p w:rsidR="0058392B" w:rsidRPr="00600098" w:rsidRDefault="0058392B" w:rsidP="00997AEB">
      <w:pPr>
        <w:pStyle w:val="FootnoteText"/>
        <w:rPr>
          <w:rFonts w:ascii="Arial" w:hAnsi="Arial" w:cs="Arial"/>
          <w:sz w:val="18"/>
          <w:szCs w:val="18"/>
        </w:rPr>
      </w:pPr>
      <w:r w:rsidRPr="00600098">
        <w:rPr>
          <w:rStyle w:val="FootnoteReference"/>
          <w:rFonts w:ascii="Arial" w:hAnsi="Arial" w:cs="Arial"/>
          <w:sz w:val="18"/>
          <w:szCs w:val="18"/>
        </w:rPr>
        <w:footnoteRef/>
      </w:r>
      <w:hyperlink r:id="rId7" w:history="1">
        <w:r w:rsidRPr="00600098">
          <w:rPr>
            <w:rStyle w:val="Hyperlink"/>
            <w:rFonts w:ascii="Arial" w:hAnsi="Arial" w:cs="Arial"/>
            <w:sz w:val="18"/>
            <w:szCs w:val="18"/>
          </w:rPr>
          <w:t>http://rtichennai.cag.gov.in/rti-website/rti-chennai/download/CaseStudyPPP.pdf</w:t>
        </w:r>
      </w:hyperlink>
    </w:p>
  </w:footnote>
  <w:footnote w:id="11">
    <w:p w:rsidR="0058392B" w:rsidRPr="00E72D3A" w:rsidRDefault="0058392B" w:rsidP="006015AA">
      <w:pPr>
        <w:pStyle w:val="FootnoteText"/>
        <w:rPr>
          <w:rFonts w:ascii="Arial" w:hAnsi="Arial" w:cs="Arial"/>
          <w:sz w:val="18"/>
          <w:szCs w:val="18"/>
        </w:rPr>
      </w:pPr>
      <w:r w:rsidRPr="00E72D3A">
        <w:rPr>
          <w:rStyle w:val="FootnoteReference"/>
          <w:rFonts w:ascii="Arial" w:hAnsi="Arial" w:cs="Arial"/>
          <w:sz w:val="18"/>
          <w:szCs w:val="18"/>
        </w:rPr>
        <w:footnoteRef/>
      </w:r>
      <w:r w:rsidRPr="00E72D3A">
        <w:rPr>
          <w:rFonts w:ascii="Arial" w:hAnsi="Arial" w:cs="Arial"/>
          <w:i/>
          <w:sz w:val="18"/>
          <w:szCs w:val="18"/>
        </w:rPr>
        <w:t>Public Private Partnerships in China’s Urban Water Sector</w:t>
      </w:r>
      <w:r w:rsidRPr="00E72D3A">
        <w:rPr>
          <w:rFonts w:ascii="Arial" w:hAnsi="Arial" w:cs="Arial"/>
          <w:sz w:val="18"/>
          <w:szCs w:val="18"/>
        </w:rPr>
        <w:t xml:space="preserve">, 2008, </w:t>
      </w:r>
      <w:hyperlink r:id="rId8" w:history="1">
        <w:r w:rsidRPr="00E72D3A">
          <w:rPr>
            <w:rStyle w:val="Hyperlink"/>
            <w:rFonts w:ascii="Arial" w:hAnsi="Arial" w:cs="Arial"/>
            <w:sz w:val="18"/>
            <w:szCs w:val="18"/>
          </w:rPr>
          <w:t>http://www.ncbi.nlm.nih.gov/pmc/articles/PMC2359833/</w:t>
        </w:r>
      </w:hyperlink>
      <w:r w:rsidRPr="00E72D3A">
        <w:rPr>
          <w:rFonts w:ascii="Arial" w:hAnsi="Arial" w:cs="Arial"/>
          <w:sz w:val="18"/>
          <w:szCs w:val="18"/>
        </w:rPr>
        <w:t xml:space="preserve">. </w:t>
      </w:r>
    </w:p>
  </w:footnote>
  <w:footnote w:id="12">
    <w:p w:rsidR="0058392B" w:rsidRPr="001034C3" w:rsidRDefault="0058392B">
      <w:pPr>
        <w:pStyle w:val="FootnoteText"/>
        <w:rPr>
          <w:rFonts w:ascii="Arial" w:hAnsi="Arial" w:cs="Arial"/>
        </w:rPr>
      </w:pPr>
      <w:r w:rsidRPr="00E72D3A">
        <w:rPr>
          <w:rStyle w:val="FootnoteReference"/>
          <w:rFonts w:ascii="Arial" w:hAnsi="Arial" w:cs="Arial"/>
          <w:sz w:val="18"/>
          <w:szCs w:val="18"/>
        </w:rPr>
        <w:footnoteRef/>
      </w:r>
      <w:r w:rsidRPr="00E72D3A">
        <w:rPr>
          <w:rFonts w:ascii="Arial" w:hAnsi="Arial" w:cs="Arial"/>
          <w:sz w:val="18"/>
          <w:szCs w:val="18"/>
        </w:rPr>
        <w:t xml:space="preserve"> Tao Fu, Miao Chang, Lijin Zhong, </w:t>
      </w:r>
      <w:r w:rsidRPr="00E72D3A">
        <w:rPr>
          <w:rFonts w:ascii="Arial" w:hAnsi="Arial" w:cs="Arial"/>
          <w:i/>
          <w:sz w:val="18"/>
          <w:szCs w:val="18"/>
        </w:rPr>
        <w:t>Reform of China’s Urban Water Sector</w:t>
      </w:r>
      <w:r w:rsidRPr="00E72D3A">
        <w:rPr>
          <w:rFonts w:ascii="Arial" w:hAnsi="Arial" w:cs="Arial"/>
          <w:sz w:val="18"/>
          <w:szCs w:val="18"/>
        </w:rPr>
        <w:t>, , IWA Publishing, 2008, 116.</w:t>
      </w:r>
    </w:p>
  </w:footnote>
  <w:footnote w:id="13">
    <w:p w:rsidR="0058392B" w:rsidRPr="00E72D3A" w:rsidRDefault="0058392B">
      <w:pPr>
        <w:pStyle w:val="FootnoteText"/>
        <w:rPr>
          <w:rFonts w:ascii="Arial" w:hAnsi="Arial" w:cs="Arial"/>
          <w:sz w:val="18"/>
          <w:szCs w:val="18"/>
        </w:rPr>
      </w:pPr>
      <w:r w:rsidRPr="001034C3">
        <w:rPr>
          <w:rStyle w:val="FootnoteReference"/>
          <w:rFonts w:ascii="Arial" w:hAnsi="Arial" w:cs="Arial"/>
        </w:rPr>
        <w:footnoteRef/>
      </w:r>
      <w:r w:rsidRPr="00E72D3A">
        <w:rPr>
          <w:rFonts w:ascii="Arial" w:hAnsi="Arial" w:cs="Arial"/>
          <w:sz w:val="18"/>
          <w:szCs w:val="18"/>
        </w:rPr>
        <w:t xml:space="preserve">Lijin Zhong, Arthur P. J. Mol, Tao Fu, </w:t>
      </w:r>
      <w:r w:rsidRPr="00E72D3A">
        <w:rPr>
          <w:rFonts w:ascii="Arial" w:hAnsi="Arial" w:cs="Arial"/>
          <w:i/>
          <w:sz w:val="18"/>
          <w:szCs w:val="18"/>
        </w:rPr>
        <w:t xml:space="preserve">Public-Private Partnerships in China’s Urban Water Sector, </w:t>
      </w:r>
      <w:r w:rsidRPr="00E72D3A">
        <w:rPr>
          <w:rFonts w:ascii="Arial" w:hAnsi="Arial" w:cs="Arial"/>
          <w:sz w:val="18"/>
          <w:szCs w:val="18"/>
        </w:rPr>
        <w:t>12.</w:t>
      </w:r>
    </w:p>
  </w:footnote>
  <w:footnote w:id="14">
    <w:p w:rsidR="0058392B" w:rsidRPr="00E72D3A" w:rsidRDefault="0058392B">
      <w:pPr>
        <w:pStyle w:val="FootnoteText"/>
        <w:rPr>
          <w:rFonts w:ascii="Arial" w:hAnsi="Arial" w:cs="Arial"/>
          <w:sz w:val="18"/>
          <w:szCs w:val="18"/>
        </w:rPr>
      </w:pPr>
      <w:r w:rsidRPr="00E72D3A">
        <w:rPr>
          <w:rStyle w:val="FootnoteReference"/>
          <w:rFonts w:ascii="Arial" w:hAnsi="Arial" w:cs="Arial"/>
          <w:sz w:val="18"/>
          <w:szCs w:val="18"/>
        </w:rPr>
        <w:footnoteRef/>
      </w:r>
      <w:r w:rsidRPr="00E72D3A">
        <w:rPr>
          <w:rFonts w:ascii="Arial" w:hAnsi="Arial" w:cs="Arial"/>
          <w:sz w:val="18"/>
          <w:szCs w:val="18"/>
        </w:rPr>
        <w:t xml:space="preserve"> Tao Fu, Miao Chang, Lijin Zhong, </w:t>
      </w:r>
      <w:r w:rsidRPr="00E72D3A">
        <w:rPr>
          <w:rFonts w:ascii="Arial" w:hAnsi="Arial" w:cs="Arial"/>
          <w:i/>
          <w:sz w:val="18"/>
          <w:szCs w:val="18"/>
        </w:rPr>
        <w:t>Reform of China’s Urban Water Sector</w:t>
      </w:r>
      <w:r w:rsidRPr="00E72D3A">
        <w:rPr>
          <w:rFonts w:ascii="Arial" w:hAnsi="Arial" w:cs="Arial"/>
          <w:sz w:val="18"/>
          <w:szCs w:val="18"/>
        </w:rPr>
        <w:t>, , IWA Publishing, 2008, 117.</w:t>
      </w:r>
    </w:p>
  </w:footnote>
  <w:footnote w:id="15">
    <w:p w:rsidR="0058392B" w:rsidRPr="00E72D3A" w:rsidRDefault="0058392B">
      <w:pPr>
        <w:pStyle w:val="FootnoteText"/>
        <w:rPr>
          <w:rFonts w:ascii="Arial" w:hAnsi="Arial" w:cs="Arial"/>
          <w:sz w:val="18"/>
          <w:szCs w:val="18"/>
        </w:rPr>
      </w:pPr>
      <w:r w:rsidRPr="00E72D3A">
        <w:rPr>
          <w:rStyle w:val="FootnoteReference"/>
          <w:rFonts w:ascii="Arial" w:hAnsi="Arial" w:cs="Arial"/>
          <w:sz w:val="18"/>
          <w:szCs w:val="18"/>
        </w:rPr>
        <w:footnoteRef/>
      </w:r>
      <w:r w:rsidRPr="00E72D3A">
        <w:rPr>
          <w:rFonts w:ascii="Arial" w:hAnsi="Arial" w:cs="Arial"/>
          <w:sz w:val="18"/>
          <w:szCs w:val="18"/>
        </w:rPr>
        <w:t xml:space="preserve"> Raspin, </w:t>
      </w:r>
      <w:r w:rsidRPr="00E72D3A">
        <w:rPr>
          <w:rFonts w:ascii="Arial" w:hAnsi="Arial" w:cs="Arial"/>
          <w:i/>
          <w:sz w:val="18"/>
          <w:szCs w:val="18"/>
        </w:rPr>
        <w:t>China: Another step towards privatization</w:t>
      </w:r>
      <w:r w:rsidRPr="00E72D3A">
        <w:rPr>
          <w:rFonts w:ascii="Arial" w:hAnsi="Arial" w:cs="Arial"/>
          <w:sz w:val="18"/>
          <w:szCs w:val="18"/>
        </w:rPr>
        <w:t xml:space="preserve">, 2002, </w:t>
      </w:r>
      <w:hyperlink r:id="rId9" w:history="1">
        <w:r w:rsidRPr="00E72D3A">
          <w:rPr>
            <w:rStyle w:val="Hyperlink"/>
            <w:rFonts w:ascii="Arial" w:hAnsi="Arial" w:cs="Arial"/>
            <w:sz w:val="18"/>
            <w:szCs w:val="18"/>
          </w:rPr>
          <w:t>http://www.frost.com/prod/servlet/market-insight-print.pag?docid=JEVS-5MZMAY</w:t>
        </w:r>
      </w:hyperlink>
      <w:r w:rsidRPr="00E72D3A">
        <w:rPr>
          <w:rFonts w:ascii="Arial" w:hAnsi="Arial" w:cs="Arial"/>
          <w:sz w:val="18"/>
          <w:szCs w:val="18"/>
        </w:rPr>
        <w:t xml:space="preserve">. </w:t>
      </w:r>
    </w:p>
  </w:footnote>
  <w:footnote w:id="16">
    <w:p w:rsidR="0058392B" w:rsidRPr="00E72D3A" w:rsidRDefault="0058392B" w:rsidP="0049685D">
      <w:pPr>
        <w:pStyle w:val="FootnoteText"/>
        <w:rPr>
          <w:rFonts w:ascii="Arial" w:hAnsi="Arial" w:cs="Arial"/>
          <w:sz w:val="18"/>
          <w:szCs w:val="18"/>
        </w:rPr>
      </w:pPr>
      <w:r w:rsidRPr="00E72D3A">
        <w:rPr>
          <w:rStyle w:val="FootnoteReference"/>
          <w:rFonts w:ascii="Arial" w:hAnsi="Arial" w:cs="Arial"/>
          <w:sz w:val="18"/>
          <w:szCs w:val="18"/>
        </w:rPr>
        <w:footnoteRef/>
      </w:r>
      <w:r w:rsidRPr="00E72D3A">
        <w:rPr>
          <w:rFonts w:ascii="Arial" w:hAnsi="Arial" w:cs="Arial"/>
          <w:sz w:val="18"/>
          <w:szCs w:val="18"/>
        </w:rPr>
        <w:t xml:space="preserve"> Global Water Intelligence, </w:t>
      </w:r>
      <w:r w:rsidRPr="00E72D3A">
        <w:rPr>
          <w:rFonts w:ascii="Arial" w:hAnsi="Arial" w:cs="Arial"/>
          <w:i/>
          <w:sz w:val="18"/>
          <w:szCs w:val="18"/>
        </w:rPr>
        <w:t>Shanghai Urban Construction Group</w:t>
      </w:r>
      <w:r w:rsidRPr="00E72D3A">
        <w:rPr>
          <w:rFonts w:ascii="Arial" w:hAnsi="Arial" w:cs="Arial"/>
          <w:sz w:val="18"/>
          <w:szCs w:val="18"/>
        </w:rPr>
        <w:t xml:space="preserve">, 2012, </w:t>
      </w:r>
      <w:hyperlink r:id="rId10" w:history="1">
        <w:r w:rsidRPr="00E72D3A">
          <w:rPr>
            <w:rStyle w:val="Hyperlink"/>
            <w:rFonts w:ascii="Arial" w:hAnsi="Arial" w:cs="Arial"/>
            <w:sz w:val="18"/>
            <w:szCs w:val="18"/>
          </w:rPr>
          <w:t>http://www.globalwaterintel.com/pinsent-masons-yearbook/2012-2013/part-iii/company-analysis-local-regional-players/china/31/</w:t>
        </w:r>
      </w:hyperlink>
      <w:r w:rsidRPr="00E72D3A">
        <w:rPr>
          <w:rStyle w:val="Hyperlink"/>
          <w:rFonts w:ascii="Arial" w:hAnsi="Arial" w:cs="Arial"/>
          <w:sz w:val="18"/>
          <w:szCs w:val="18"/>
        </w:rPr>
        <w:t>.</w:t>
      </w:r>
    </w:p>
  </w:footnote>
  <w:footnote w:id="17">
    <w:p w:rsidR="0058392B" w:rsidRPr="00E72D3A" w:rsidRDefault="0058392B">
      <w:pPr>
        <w:pStyle w:val="FootnoteText"/>
        <w:rPr>
          <w:rFonts w:ascii="Arial" w:hAnsi="Arial" w:cs="Arial"/>
          <w:sz w:val="18"/>
          <w:szCs w:val="18"/>
        </w:rPr>
      </w:pPr>
      <w:r w:rsidRPr="00E72D3A">
        <w:rPr>
          <w:rStyle w:val="FootnoteReference"/>
          <w:rFonts w:ascii="Arial" w:hAnsi="Arial" w:cs="Arial"/>
          <w:sz w:val="18"/>
          <w:szCs w:val="18"/>
        </w:rPr>
        <w:footnoteRef/>
      </w:r>
      <w:r w:rsidRPr="00E72D3A">
        <w:rPr>
          <w:rFonts w:ascii="Arial" w:hAnsi="Arial" w:cs="Arial"/>
          <w:sz w:val="18"/>
          <w:szCs w:val="18"/>
        </w:rPr>
        <w:t xml:space="preserve"> Lijin Zhong, Arthur P. J. Mol, Tao Fu, </w:t>
      </w:r>
      <w:r w:rsidRPr="00E72D3A">
        <w:rPr>
          <w:rFonts w:ascii="Arial" w:hAnsi="Arial" w:cs="Arial"/>
          <w:i/>
          <w:sz w:val="18"/>
          <w:szCs w:val="18"/>
        </w:rPr>
        <w:t xml:space="preserve">Public-Private Partnerships in China’s Urban Water Sector, </w:t>
      </w:r>
      <w:r w:rsidRPr="00E72D3A">
        <w:rPr>
          <w:rFonts w:ascii="Arial" w:hAnsi="Arial" w:cs="Arial"/>
          <w:sz w:val="18"/>
          <w:szCs w:val="18"/>
        </w:rPr>
        <w:t>12.</w:t>
      </w:r>
    </w:p>
  </w:footnote>
  <w:footnote w:id="18">
    <w:p w:rsidR="0058392B" w:rsidRPr="00E72D3A" w:rsidRDefault="0058392B" w:rsidP="00F03B8D">
      <w:pPr>
        <w:pStyle w:val="FootnoteText"/>
        <w:rPr>
          <w:rFonts w:ascii="Arial" w:hAnsi="Arial" w:cs="Arial"/>
          <w:sz w:val="18"/>
          <w:szCs w:val="18"/>
        </w:rPr>
      </w:pPr>
      <w:r w:rsidRPr="00E72D3A">
        <w:rPr>
          <w:rStyle w:val="FootnoteReference"/>
          <w:rFonts w:ascii="Arial" w:hAnsi="Arial" w:cs="Arial"/>
          <w:sz w:val="18"/>
          <w:szCs w:val="18"/>
        </w:rPr>
        <w:footnoteRef/>
      </w:r>
      <w:r w:rsidRPr="00E72D3A">
        <w:rPr>
          <w:rFonts w:ascii="Arial" w:hAnsi="Arial" w:cs="Arial"/>
          <w:sz w:val="18"/>
          <w:szCs w:val="18"/>
        </w:rPr>
        <w:t xml:space="preserve"> ADB, </w:t>
      </w:r>
      <w:r w:rsidRPr="00E72D3A">
        <w:rPr>
          <w:rFonts w:ascii="Arial" w:hAnsi="Arial" w:cs="Arial"/>
          <w:i/>
          <w:sz w:val="18"/>
          <w:szCs w:val="18"/>
        </w:rPr>
        <w:t>Wastewater Treatment: Case Study of Public-Private Partnerships in Shanghai</w:t>
      </w:r>
      <w:r w:rsidRPr="00E72D3A">
        <w:rPr>
          <w:rFonts w:ascii="Arial" w:hAnsi="Arial" w:cs="Arial"/>
          <w:sz w:val="18"/>
          <w:szCs w:val="18"/>
        </w:rPr>
        <w:t xml:space="preserve">, 2010, </w:t>
      </w:r>
      <w:hyperlink r:id="rId11" w:history="1">
        <w:r w:rsidRPr="00E72D3A">
          <w:rPr>
            <w:rStyle w:val="Hyperlink"/>
            <w:rFonts w:ascii="Arial" w:hAnsi="Arial" w:cs="Arial"/>
            <w:sz w:val="18"/>
            <w:szCs w:val="18"/>
          </w:rPr>
          <w:t>http://adb.org/sites/default/files/pub/2010/urbandev-prc-nov2010-wastewater.pdf</w:t>
        </w:r>
      </w:hyperlink>
    </w:p>
  </w:footnote>
  <w:footnote w:id="19">
    <w:p w:rsidR="0058392B" w:rsidRPr="001034C3" w:rsidRDefault="0058392B" w:rsidP="00497931">
      <w:pPr>
        <w:pStyle w:val="FootnoteText"/>
        <w:rPr>
          <w:rFonts w:ascii="Arial" w:hAnsi="Arial" w:cs="Arial"/>
        </w:rPr>
      </w:pPr>
      <w:r w:rsidRPr="00E72D3A">
        <w:rPr>
          <w:rStyle w:val="FootnoteReference"/>
          <w:rFonts w:ascii="Arial" w:hAnsi="Arial" w:cs="Arial"/>
          <w:sz w:val="18"/>
          <w:szCs w:val="18"/>
        </w:rPr>
        <w:footnoteRef/>
      </w:r>
      <w:r w:rsidRPr="00E72D3A">
        <w:rPr>
          <w:rFonts w:ascii="Arial" w:hAnsi="Arial" w:cs="Arial"/>
          <w:sz w:val="18"/>
          <w:szCs w:val="18"/>
        </w:rPr>
        <w:t xml:space="preserve"> Ibid</w:t>
      </w:r>
      <w:r>
        <w:rPr>
          <w:rFonts w:ascii="Arial" w:hAnsi="Arial" w:cs="Arial"/>
        </w:rPr>
        <w:t>.</w:t>
      </w:r>
    </w:p>
  </w:footnote>
  <w:footnote w:id="20">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PPIAF, </w:t>
      </w:r>
      <w:r w:rsidRPr="00367B37">
        <w:rPr>
          <w:rFonts w:ascii="Arial" w:hAnsi="Arial" w:cs="Arial"/>
          <w:i/>
          <w:sz w:val="18"/>
          <w:szCs w:val="18"/>
        </w:rPr>
        <w:t>PPIAF Supports Groundbreaking Public-Private Partnerships in the Wastewater Sector in Egypt</w:t>
      </w:r>
      <w:r w:rsidRPr="00367B37">
        <w:rPr>
          <w:rFonts w:ascii="Arial" w:hAnsi="Arial" w:cs="Arial"/>
          <w:sz w:val="18"/>
          <w:szCs w:val="18"/>
        </w:rPr>
        <w:t xml:space="preserve">, 2013, </w:t>
      </w:r>
      <w:hyperlink r:id="rId12" w:history="1">
        <w:r w:rsidRPr="00367B37">
          <w:rPr>
            <w:rStyle w:val="Hyperlink"/>
            <w:rFonts w:ascii="Arial" w:hAnsi="Arial" w:cs="Arial"/>
            <w:sz w:val="18"/>
            <w:szCs w:val="18"/>
          </w:rPr>
          <w:t>http://www.ppiaf.org/sites/ppiaf.org/files/publication/PPIAF-Impact-Stories-Egypt-Wastewater.pdf</w:t>
        </w:r>
      </w:hyperlink>
      <w:r w:rsidRPr="00367B37">
        <w:rPr>
          <w:rStyle w:val="Hyperlink"/>
          <w:rFonts w:ascii="Arial" w:hAnsi="Arial" w:cs="Arial"/>
          <w:sz w:val="18"/>
          <w:szCs w:val="18"/>
        </w:rPr>
        <w:t>.</w:t>
      </w:r>
    </w:p>
  </w:footnote>
  <w:footnote w:id="21">
    <w:p w:rsidR="0058392B" w:rsidRPr="001034C3" w:rsidRDefault="0058392B">
      <w:pPr>
        <w:pStyle w:val="FootnoteText"/>
        <w:rPr>
          <w:rFonts w:ascii="Arial" w:hAnsi="Arial" w:cs="Arial"/>
        </w:rPr>
      </w:pPr>
      <w:r w:rsidRPr="00367B37">
        <w:rPr>
          <w:rStyle w:val="FootnoteReference"/>
          <w:rFonts w:ascii="Arial" w:hAnsi="Arial" w:cs="Arial"/>
          <w:sz w:val="18"/>
          <w:szCs w:val="18"/>
        </w:rPr>
        <w:footnoteRef/>
      </w:r>
      <w:r w:rsidRPr="00367B37">
        <w:rPr>
          <w:rFonts w:ascii="Arial" w:hAnsi="Arial" w:cs="Arial"/>
          <w:sz w:val="18"/>
          <w:szCs w:val="18"/>
        </w:rPr>
        <w:t xml:space="preserve"> Ibid.</w:t>
      </w:r>
      <w:hyperlink r:id="rId13" w:history="1"/>
    </w:p>
  </w:footnote>
  <w:footnote w:id="22">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Global Water Intelligence, </w:t>
      </w:r>
      <w:r w:rsidRPr="00367B37">
        <w:rPr>
          <w:rFonts w:ascii="Arial" w:hAnsi="Arial" w:cs="Arial"/>
          <w:i/>
          <w:sz w:val="18"/>
          <w:szCs w:val="18"/>
        </w:rPr>
        <w:t>Landmark New Cairo deal reaches financial close</w:t>
      </w:r>
      <w:r w:rsidRPr="00367B37">
        <w:rPr>
          <w:rFonts w:ascii="Arial" w:hAnsi="Arial" w:cs="Arial"/>
          <w:sz w:val="18"/>
          <w:szCs w:val="18"/>
        </w:rPr>
        <w:t xml:space="preserve">, 2010, </w:t>
      </w:r>
      <w:hyperlink r:id="rId14" w:history="1">
        <w:r w:rsidRPr="00367B37">
          <w:rPr>
            <w:rStyle w:val="Hyperlink"/>
            <w:rFonts w:ascii="Arial" w:hAnsi="Arial" w:cs="Arial"/>
            <w:sz w:val="18"/>
            <w:szCs w:val="18"/>
          </w:rPr>
          <w:t>http://www.globalwaterintel.com/news/2010/5/landmark-new-cairo-deal-reaches-financial-close.html</w:t>
        </w:r>
      </w:hyperlink>
      <w:r w:rsidRPr="00367B37">
        <w:rPr>
          <w:rFonts w:ascii="Arial" w:hAnsi="Arial" w:cs="Arial"/>
          <w:sz w:val="18"/>
          <w:szCs w:val="18"/>
        </w:rPr>
        <w:t xml:space="preserve">. </w:t>
      </w:r>
    </w:p>
  </w:footnote>
  <w:footnote w:id="23">
    <w:p w:rsidR="0058392B" w:rsidRPr="001034C3" w:rsidRDefault="0058392B" w:rsidP="00EF7F35">
      <w:pPr>
        <w:pStyle w:val="FootnoteText"/>
        <w:rPr>
          <w:rFonts w:ascii="Arial" w:hAnsi="Arial" w:cs="Arial"/>
        </w:rPr>
      </w:pPr>
      <w:r w:rsidRPr="00367B37">
        <w:rPr>
          <w:rStyle w:val="FootnoteReference"/>
          <w:rFonts w:ascii="Arial" w:hAnsi="Arial" w:cs="Arial"/>
          <w:sz w:val="18"/>
          <w:szCs w:val="18"/>
        </w:rPr>
        <w:footnoteRef/>
      </w:r>
      <w:r w:rsidRPr="00367B37">
        <w:rPr>
          <w:rFonts w:ascii="Arial" w:hAnsi="Arial" w:cs="Arial"/>
          <w:sz w:val="18"/>
          <w:szCs w:val="18"/>
        </w:rPr>
        <w:t xml:space="preserve"> Ibid.</w:t>
      </w:r>
    </w:p>
  </w:footnote>
  <w:footnote w:id="24">
    <w:p w:rsidR="0058392B" w:rsidRPr="00367B37" w:rsidRDefault="0058392B" w:rsidP="004A62BC">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IFC, </w:t>
      </w:r>
      <w:r w:rsidRPr="00367B37">
        <w:rPr>
          <w:rFonts w:ascii="Arial" w:hAnsi="Arial" w:cs="Arial"/>
          <w:i/>
          <w:sz w:val="18"/>
          <w:szCs w:val="18"/>
        </w:rPr>
        <w:t>Case Study on New Cairo Wastewater Project</w:t>
      </w:r>
      <w:r w:rsidRPr="00367B37">
        <w:rPr>
          <w:rFonts w:ascii="Arial" w:hAnsi="Arial" w:cs="Arial"/>
          <w:sz w:val="18"/>
          <w:szCs w:val="18"/>
        </w:rPr>
        <w:t xml:space="preserve">, 2012, </w:t>
      </w:r>
      <w:hyperlink r:id="rId15" w:history="1">
        <w:r w:rsidRPr="00367B37">
          <w:rPr>
            <w:rStyle w:val="Hyperlink"/>
            <w:rFonts w:ascii="Arial" w:hAnsi="Arial" w:cs="Arial"/>
            <w:sz w:val="18"/>
            <w:szCs w:val="18"/>
          </w:rPr>
          <w:t>http://www.icafrica.org/fileadmin/documents/ICA_sponsored_events/IFC_PPP_Water_Dakar_June2012/Presentations/Training_Day/T%203c_New%20Cairo%20training_Draz.pdf</w:t>
        </w:r>
      </w:hyperlink>
      <w:r w:rsidRPr="00367B37">
        <w:rPr>
          <w:rFonts w:ascii="Arial" w:hAnsi="Arial" w:cs="Arial"/>
          <w:sz w:val="18"/>
          <w:szCs w:val="18"/>
        </w:rPr>
        <w:t xml:space="preserve">. </w:t>
      </w:r>
    </w:p>
  </w:footnote>
  <w:footnote w:id="25">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The Arab Republic of Egypt Public-Private Partnership Program, </w:t>
      </w:r>
      <w:r w:rsidRPr="00367B37">
        <w:rPr>
          <w:rFonts w:ascii="Arial" w:hAnsi="Arial" w:cs="Arial"/>
          <w:i/>
          <w:sz w:val="18"/>
          <w:szCs w:val="18"/>
        </w:rPr>
        <w:t>6th of October Wastewater Treatment Plant Project: Information Memorandum</w:t>
      </w:r>
      <w:r w:rsidRPr="00367B37">
        <w:rPr>
          <w:rFonts w:ascii="Arial" w:hAnsi="Arial" w:cs="Arial"/>
          <w:sz w:val="18"/>
          <w:szCs w:val="18"/>
        </w:rPr>
        <w:t xml:space="preserve">, 2009, </w:t>
      </w:r>
      <w:hyperlink r:id="rId16" w:history="1">
        <w:r w:rsidRPr="00367B37">
          <w:rPr>
            <w:rStyle w:val="Hyperlink"/>
            <w:rFonts w:ascii="Arial" w:hAnsi="Arial" w:cs="Arial"/>
            <w:sz w:val="18"/>
            <w:szCs w:val="18"/>
          </w:rPr>
          <w:t>http://www.pppcentralunit.mof.gov.eg/SiteCollectionDocuments/PPPCUSite/Info%20memo.pdf</w:t>
        </w:r>
      </w:hyperlink>
      <w:r w:rsidRPr="00367B37">
        <w:rPr>
          <w:rFonts w:ascii="Arial" w:hAnsi="Arial" w:cs="Arial"/>
          <w:sz w:val="18"/>
          <w:szCs w:val="18"/>
        </w:rPr>
        <w:t xml:space="preserve">. </w:t>
      </w:r>
    </w:p>
  </w:footnote>
  <w:footnote w:id="26">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ICAT, 6th of October Waste Water Treatment Plant, </w:t>
      </w:r>
      <w:hyperlink r:id="rId17" w:anchor="october" w:history="1">
        <w:r w:rsidRPr="00367B37">
          <w:rPr>
            <w:rStyle w:val="Hyperlink"/>
            <w:rFonts w:ascii="Arial" w:hAnsi="Arial" w:cs="Arial"/>
            <w:sz w:val="18"/>
            <w:szCs w:val="18"/>
          </w:rPr>
          <w:t>http://www.icat.com.eg/newcairo.html#october</w:t>
        </w:r>
      </w:hyperlink>
      <w:r w:rsidRPr="00367B37">
        <w:rPr>
          <w:rStyle w:val="Hyperlink"/>
          <w:rFonts w:ascii="Arial" w:hAnsi="Arial" w:cs="Arial"/>
          <w:sz w:val="18"/>
          <w:szCs w:val="18"/>
        </w:rPr>
        <w:t>.</w:t>
      </w:r>
    </w:p>
  </w:footnote>
  <w:footnote w:id="27">
    <w:p w:rsidR="0058392B" w:rsidRPr="00367B37" w:rsidRDefault="0058392B" w:rsidP="00B44DEF">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The Arab Republic of Egypt Public-Private Partnership Program, </w:t>
      </w:r>
      <w:r w:rsidRPr="00367B37">
        <w:rPr>
          <w:rFonts w:ascii="Arial" w:hAnsi="Arial" w:cs="Arial"/>
          <w:i/>
          <w:sz w:val="18"/>
          <w:szCs w:val="18"/>
        </w:rPr>
        <w:t>6th of October Wastewater Treatment Plant Project: Information Memorandum</w:t>
      </w:r>
      <w:r w:rsidRPr="00367B37">
        <w:rPr>
          <w:rFonts w:ascii="Arial" w:hAnsi="Arial" w:cs="Arial"/>
          <w:sz w:val="18"/>
          <w:szCs w:val="18"/>
        </w:rPr>
        <w:t xml:space="preserve">, 2009, </w:t>
      </w:r>
      <w:hyperlink r:id="rId18" w:history="1">
        <w:r w:rsidRPr="00367B37">
          <w:rPr>
            <w:rStyle w:val="Hyperlink"/>
            <w:rFonts w:ascii="Arial" w:hAnsi="Arial" w:cs="Arial"/>
            <w:sz w:val="18"/>
            <w:szCs w:val="18"/>
          </w:rPr>
          <w:t>http://www.pppcentralunit.mof.gov.eg/SiteCollectionDocuments/PPPCUSite/Info%20memo.pdf</w:t>
        </w:r>
      </w:hyperlink>
      <w:r w:rsidRPr="00367B37">
        <w:rPr>
          <w:rFonts w:ascii="Arial" w:hAnsi="Arial" w:cs="Arial"/>
          <w:sz w:val="18"/>
          <w:szCs w:val="18"/>
        </w:rPr>
        <w:t>.</w:t>
      </w:r>
    </w:p>
  </w:footnote>
  <w:footnote w:id="28">
    <w:p w:rsidR="0058392B" w:rsidRPr="001034C3" w:rsidRDefault="0058392B" w:rsidP="008C4669">
      <w:pPr>
        <w:pStyle w:val="FootnoteText"/>
        <w:rPr>
          <w:rFonts w:ascii="Arial" w:hAnsi="Arial" w:cs="Arial"/>
        </w:rPr>
      </w:pPr>
      <w:r w:rsidRPr="00367B37">
        <w:rPr>
          <w:rStyle w:val="FootnoteReference"/>
          <w:rFonts w:ascii="Arial" w:hAnsi="Arial" w:cs="Arial"/>
          <w:sz w:val="18"/>
          <w:szCs w:val="18"/>
        </w:rPr>
        <w:footnoteRef/>
      </w:r>
      <w:r w:rsidRPr="00367B37">
        <w:rPr>
          <w:rFonts w:ascii="Arial" w:hAnsi="Arial" w:cs="Arial"/>
          <w:sz w:val="18"/>
          <w:szCs w:val="18"/>
        </w:rPr>
        <w:t xml:space="preserve"> MEED, Egypt cancels wastewater PPP project, 2012, </w:t>
      </w:r>
      <w:hyperlink r:id="rId19" w:history="1">
        <w:r w:rsidRPr="00367B37">
          <w:rPr>
            <w:rStyle w:val="Hyperlink"/>
            <w:rFonts w:ascii="Arial" w:hAnsi="Arial" w:cs="Arial"/>
            <w:sz w:val="18"/>
            <w:szCs w:val="18"/>
          </w:rPr>
          <w:t>http://www.meed.com/sectors/water/wastewater/egypt-cancels-wastewater-ppp-project/3136535.article</w:t>
        </w:r>
      </w:hyperlink>
      <w:r w:rsidRPr="00367B37">
        <w:rPr>
          <w:rStyle w:val="Hyperlink"/>
          <w:rFonts w:ascii="Arial" w:hAnsi="Arial" w:cs="Arial"/>
          <w:sz w:val="18"/>
          <w:szCs w:val="18"/>
        </w:rPr>
        <w:t>.</w:t>
      </w:r>
    </w:p>
  </w:footnote>
  <w:footnote w:id="29">
    <w:p w:rsidR="0058392B" w:rsidRPr="001034C3" w:rsidRDefault="0058392B" w:rsidP="002E7BFE">
      <w:r w:rsidRPr="00367B37">
        <w:rPr>
          <w:rStyle w:val="FootnoteReference"/>
          <w:rFonts w:ascii="Arial" w:hAnsi="Arial" w:cs="Arial"/>
          <w:sz w:val="18"/>
          <w:szCs w:val="18"/>
        </w:rPr>
        <w:footnoteRef/>
      </w:r>
      <w:r w:rsidRPr="00367B37">
        <w:rPr>
          <w:rFonts w:ascii="Arial" w:hAnsi="Arial" w:cs="Arial"/>
          <w:sz w:val="18"/>
          <w:szCs w:val="18"/>
        </w:rPr>
        <w:t xml:space="preserve"> Note on choice of technology: ONAS uses condominial sewers in these urban slums due to their high density and unplanned nature. However, condominial sewers require a high level of maintenance, including investment in grease traps and regular checks to ensure solids don’t get caught in the system. Source: Jemima Sy, WSP</w:t>
      </w:r>
    </w:p>
  </w:footnote>
  <w:footnote w:id="30">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Wikipedia, </w:t>
      </w:r>
      <w:r w:rsidRPr="00367B37">
        <w:rPr>
          <w:rFonts w:ascii="Arial" w:hAnsi="Arial" w:cs="Arial"/>
          <w:i/>
          <w:sz w:val="18"/>
          <w:szCs w:val="18"/>
        </w:rPr>
        <w:t>Water privatization in San Pedro Sula, Honduras</w:t>
      </w:r>
      <w:r w:rsidRPr="00367B37">
        <w:rPr>
          <w:rFonts w:ascii="Arial" w:hAnsi="Arial" w:cs="Arial"/>
          <w:sz w:val="18"/>
          <w:szCs w:val="18"/>
        </w:rPr>
        <w:t xml:space="preserve">, </w:t>
      </w:r>
      <w:hyperlink r:id="rId20" w:anchor="cite_note-1" w:history="1">
        <w:r w:rsidRPr="00367B37">
          <w:rPr>
            <w:rStyle w:val="Hyperlink"/>
            <w:rFonts w:ascii="Arial" w:hAnsi="Arial" w:cs="Arial"/>
            <w:sz w:val="18"/>
            <w:szCs w:val="18"/>
          </w:rPr>
          <w:t>http://en.wikipedia.org/wiki/Water_privatization_in_San_Pedro_Sula,_Honduras#cite_note-1</w:t>
        </w:r>
      </w:hyperlink>
      <w:r w:rsidRPr="00367B37">
        <w:rPr>
          <w:rStyle w:val="Hyperlink"/>
          <w:rFonts w:ascii="Arial" w:hAnsi="Arial" w:cs="Arial"/>
          <w:sz w:val="18"/>
          <w:szCs w:val="18"/>
        </w:rPr>
        <w:t>.</w:t>
      </w:r>
    </w:p>
  </w:footnote>
  <w:footnote w:id="31">
    <w:p w:rsidR="0058392B" w:rsidRPr="00367B37" w:rsidRDefault="0058392B" w:rsidP="00534122">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Dickson, Management Models of Water and Sanitation: Approaches to Decentralization in Honduras, 2006, </w:t>
      </w:r>
      <w:hyperlink r:id="rId21" w:history="1">
        <w:r w:rsidRPr="00367B37">
          <w:rPr>
            <w:rStyle w:val="Hyperlink"/>
            <w:rFonts w:ascii="Arial" w:hAnsi="Arial" w:cs="Arial"/>
            <w:sz w:val="18"/>
            <w:szCs w:val="18"/>
          </w:rPr>
          <w:t>http://web.idrc.ca/uploads/user-S/118347449412007_Final_Edit_Management_Models_of_Water_and_Sanitation_Approaches_to_Decentralization_in_Honduras.pdf</w:t>
        </w:r>
      </w:hyperlink>
      <w:r w:rsidRPr="00367B37">
        <w:rPr>
          <w:rStyle w:val="Hyperlink"/>
          <w:rFonts w:ascii="Arial" w:hAnsi="Arial" w:cs="Arial"/>
          <w:sz w:val="18"/>
          <w:szCs w:val="18"/>
        </w:rPr>
        <w:t xml:space="preserve">. </w:t>
      </w:r>
    </w:p>
  </w:footnote>
  <w:footnote w:id="32">
    <w:p w:rsidR="0058392B" w:rsidRPr="001034C3" w:rsidRDefault="0058392B">
      <w:pPr>
        <w:pStyle w:val="FootnoteText"/>
        <w:rPr>
          <w:rFonts w:ascii="Arial" w:hAnsi="Arial" w:cs="Arial"/>
        </w:rPr>
      </w:pPr>
      <w:r w:rsidRPr="00367B37">
        <w:rPr>
          <w:rStyle w:val="FootnoteReference"/>
          <w:rFonts w:ascii="Arial" w:hAnsi="Arial" w:cs="Arial"/>
          <w:sz w:val="18"/>
          <w:szCs w:val="18"/>
        </w:rPr>
        <w:footnoteRef/>
      </w:r>
      <w:r w:rsidRPr="00367B37">
        <w:rPr>
          <w:rFonts w:ascii="Arial" w:hAnsi="Arial" w:cs="Arial"/>
          <w:sz w:val="18"/>
          <w:szCs w:val="18"/>
        </w:rPr>
        <w:t xml:space="preserve"> Ibid.</w:t>
      </w:r>
      <w:hyperlink r:id="rId22" w:history="1"/>
    </w:p>
  </w:footnote>
  <w:footnote w:id="33">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Global Water Intelligence, </w:t>
      </w:r>
      <w:r w:rsidRPr="00367B37">
        <w:rPr>
          <w:rFonts w:ascii="Arial" w:hAnsi="Arial" w:cs="Arial"/>
          <w:i/>
          <w:sz w:val="18"/>
          <w:szCs w:val="18"/>
        </w:rPr>
        <w:t>Ecuador</w:t>
      </w:r>
      <w:r w:rsidRPr="00367B37">
        <w:rPr>
          <w:rFonts w:ascii="Arial" w:hAnsi="Arial" w:cs="Arial"/>
          <w:sz w:val="18"/>
          <w:szCs w:val="18"/>
        </w:rPr>
        <w:t xml:space="preserve">, 2012, </w:t>
      </w:r>
      <w:hyperlink r:id="rId23" w:history="1">
        <w:r w:rsidRPr="00367B37">
          <w:rPr>
            <w:rStyle w:val="Hyperlink"/>
            <w:rFonts w:ascii="Arial" w:hAnsi="Arial" w:cs="Arial"/>
            <w:sz w:val="18"/>
            <w:szCs w:val="18"/>
          </w:rPr>
          <w:t>http://www.globalwaterintel.com/pinsent-masons-yearbook/2012-2013/part-ii/14/</w:t>
        </w:r>
      </w:hyperlink>
      <w:r w:rsidRPr="00367B37">
        <w:rPr>
          <w:rStyle w:val="Hyperlink"/>
          <w:rFonts w:ascii="Arial" w:hAnsi="Arial" w:cs="Arial"/>
          <w:sz w:val="18"/>
          <w:szCs w:val="18"/>
        </w:rPr>
        <w:t>.</w:t>
      </w:r>
    </w:p>
  </w:footnote>
  <w:footnote w:id="34">
    <w:p w:rsidR="0058392B" w:rsidRPr="00367B37" w:rsidRDefault="0058392B" w:rsidP="006015AA">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Food &amp; Water Watch, </w:t>
      </w:r>
      <w:r w:rsidRPr="00367B37">
        <w:rPr>
          <w:rFonts w:ascii="Arial" w:hAnsi="Arial" w:cs="Arial"/>
          <w:i/>
          <w:sz w:val="18"/>
          <w:szCs w:val="18"/>
        </w:rPr>
        <w:t>Bechtel profits from Dirty Water in Guayaquil, Ecuador</w:t>
      </w:r>
      <w:r w:rsidRPr="00367B37">
        <w:rPr>
          <w:rFonts w:ascii="Arial" w:hAnsi="Arial" w:cs="Arial"/>
          <w:sz w:val="18"/>
          <w:szCs w:val="18"/>
        </w:rPr>
        <w:t xml:space="preserve">, 2007, </w:t>
      </w:r>
      <w:hyperlink r:id="rId24" w:history="1">
        <w:r w:rsidRPr="00367B37">
          <w:rPr>
            <w:rStyle w:val="Hyperlink"/>
            <w:rFonts w:ascii="Arial" w:hAnsi="Arial" w:cs="Arial"/>
            <w:sz w:val="18"/>
            <w:szCs w:val="18"/>
          </w:rPr>
          <w:t>http://ciel.org/Publications/MurkyWaters_Background_15Apr08.pdf</w:t>
        </w:r>
      </w:hyperlink>
    </w:p>
  </w:footnote>
  <w:footnote w:id="35">
    <w:p w:rsidR="0058392B" w:rsidRPr="001034C3" w:rsidRDefault="0058392B" w:rsidP="00D95341">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Food &amp; Water Watch, </w:t>
      </w:r>
      <w:r w:rsidRPr="00367B37">
        <w:rPr>
          <w:rFonts w:ascii="Arial" w:hAnsi="Arial" w:cs="Arial"/>
          <w:i/>
          <w:sz w:val="18"/>
          <w:szCs w:val="18"/>
        </w:rPr>
        <w:t>Guayaquil, Bechtel Deceives the People Again</w:t>
      </w:r>
      <w:r w:rsidRPr="00367B37">
        <w:rPr>
          <w:rFonts w:ascii="Arial" w:hAnsi="Arial" w:cs="Arial"/>
          <w:sz w:val="18"/>
          <w:szCs w:val="18"/>
        </w:rPr>
        <w:t xml:space="preserve">, </w:t>
      </w:r>
      <w:hyperlink r:id="rId25" w:history="1">
        <w:r w:rsidRPr="00367B37">
          <w:rPr>
            <w:rStyle w:val="Hyperlink"/>
            <w:rFonts w:ascii="Arial" w:hAnsi="Arial" w:cs="Arial"/>
            <w:sz w:val="18"/>
            <w:szCs w:val="18"/>
          </w:rPr>
          <w:t>http://www.foodandwaterwatch.org/global/latin-america/ecuador/guayaquil-%E2%80%93-bechtel-deceives-the-people-again/</w:t>
        </w:r>
      </w:hyperlink>
      <w:r w:rsidRPr="00367B37">
        <w:rPr>
          <w:rStyle w:val="Hyperlink"/>
          <w:rFonts w:ascii="Arial" w:hAnsi="Arial" w:cs="Arial"/>
          <w:sz w:val="18"/>
          <w:szCs w:val="18"/>
        </w:rPr>
        <w:t>.</w:t>
      </w:r>
    </w:p>
  </w:footnote>
  <w:footnote w:id="36">
    <w:p w:rsidR="0058392B" w:rsidRPr="00367B37" w:rsidRDefault="0058392B" w:rsidP="006015AA">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Global Water Intelligence, </w:t>
      </w:r>
      <w:r w:rsidRPr="00367B37">
        <w:rPr>
          <w:rFonts w:ascii="Arial" w:hAnsi="Arial" w:cs="Arial"/>
          <w:i/>
          <w:sz w:val="18"/>
          <w:szCs w:val="18"/>
        </w:rPr>
        <w:t>Ecuador</w:t>
      </w:r>
      <w:r w:rsidRPr="00367B37">
        <w:rPr>
          <w:rFonts w:ascii="Arial" w:hAnsi="Arial" w:cs="Arial"/>
          <w:sz w:val="18"/>
          <w:szCs w:val="18"/>
        </w:rPr>
        <w:t xml:space="preserve">, 2012, </w:t>
      </w:r>
      <w:hyperlink r:id="rId26" w:history="1">
        <w:r w:rsidRPr="00367B37">
          <w:rPr>
            <w:rStyle w:val="Hyperlink"/>
            <w:rFonts w:ascii="Arial" w:hAnsi="Arial" w:cs="Arial"/>
            <w:sz w:val="18"/>
            <w:szCs w:val="18"/>
          </w:rPr>
          <w:t>http://www.globalwaterintel.com/pinsent-masons-yearbook/2012-2013/part-ii/14/</w:t>
        </w:r>
      </w:hyperlink>
      <w:r w:rsidRPr="00367B37">
        <w:rPr>
          <w:rStyle w:val="Hyperlink"/>
          <w:rFonts w:ascii="Arial" w:hAnsi="Arial" w:cs="Arial"/>
          <w:sz w:val="18"/>
          <w:szCs w:val="18"/>
        </w:rPr>
        <w:t xml:space="preserve">. </w:t>
      </w:r>
    </w:p>
  </w:footnote>
  <w:footnote w:id="37">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Mandri-Perrott, Cledan and Stiggers, David. </w:t>
      </w:r>
      <w:r w:rsidRPr="00367B37">
        <w:rPr>
          <w:rFonts w:ascii="Arial" w:hAnsi="Arial" w:cs="Arial"/>
          <w:i/>
          <w:sz w:val="18"/>
          <w:szCs w:val="18"/>
        </w:rPr>
        <w:t>Public Private Partnerships in the Water Sector</w:t>
      </w:r>
      <w:r w:rsidRPr="00367B37">
        <w:rPr>
          <w:rFonts w:ascii="Arial" w:hAnsi="Arial" w:cs="Arial"/>
          <w:sz w:val="18"/>
          <w:szCs w:val="18"/>
        </w:rPr>
        <w:t xml:space="preserve">, WSP, 2013. </w:t>
      </w:r>
    </w:p>
  </w:footnote>
  <w:footnote w:id="38">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Saltiel and Maywah, </w:t>
      </w:r>
      <w:r w:rsidRPr="00367B37">
        <w:rPr>
          <w:rFonts w:ascii="Arial" w:hAnsi="Arial" w:cs="Arial"/>
          <w:i/>
          <w:sz w:val="18"/>
          <w:szCs w:val="18"/>
        </w:rPr>
        <w:t>Argentina: The Salta Water Public-Private Partnership</w:t>
      </w:r>
      <w:r w:rsidRPr="00367B37">
        <w:rPr>
          <w:rFonts w:ascii="Arial" w:hAnsi="Arial" w:cs="Arial"/>
          <w:sz w:val="18"/>
          <w:szCs w:val="18"/>
        </w:rPr>
        <w:t xml:space="preserve">, World Bank, 2007, </w:t>
      </w:r>
      <w:hyperlink r:id="rId27" w:history="1">
        <w:r w:rsidRPr="00367B37">
          <w:rPr>
            <w:rStyle w:val="Hyperlink"/>
            <w:rFonts w:ascii="Arial" w:hAnsi="Arial" w:cs="Arial"/>
            <w:sz w:val="18"/>
            <w:szCs w:val="18"/>
          </w:rPr>
          <w:t>http://siteresources.worldbank.org/INTENBREVE/Newsletters/21455620/Feb07_102_Salta_EN.pdf</w:t>
        </w:r>
      </w:hyperlink>
      <w:r w:rsidRPr="00367B37">
        <w:rPr>
          <w:rFonts w:ascii="Arial" w:hAnsi="Arial" w:cs="Arial"/>
          <w:sz w:val="18"/>
          <w:szCs w:val="18"/>
        </w:rPr>
        <w:t xml:space="preserve">. </w:t>
      </w:r>
    </w:p>
  </w:footnote>
  <w:footnote w:id="39">
    <w:p w:rsidR="0058392B" w:rsidRPr="001034C3" w:rsidRDefault="0058392B">
      <w:pPr>
        <w:pStyle w:val="FootnoteText"/>
        <w:rPr>
          <w:rFonts w:ascii="Arial" w:hAnsi="Arial" w:cs="Arial"/>
        </w:rPr>
      </w:pPr>
      <w:r w:rsidRPr="00367B37">
        <w:rPr>
          <w:rStyle w:val="FootnoteReference"/>
          <w:rFonts w:ascii="Arial" w:hAnsi="Arial" w:cs="Arial"/>
          <w:sz w:val="18"/>
          <w:szCs w:val="18"/>
        </w:rPr>
        <w:footnoteRef/>
      </w:r>
      <w:r w:rsidRPr="00367B37">
        <w:rPr>
          <w:rFonts w:ascii="Arial" w:hAnsi="Arial" w:cs="Arial"/>
          <w:sz w:val="18"/>
          <w:szCs w:val="18"/>
        </w:rPr>
        <w:t xml:space="preserve"> Ibid.</w:t>
      </w:r>
    </w:p>
  </w:footnote>
  <w:footnote w:id="40">
    <w:p w:rsidR="0058392B" w:rsidRPr="00367B37" w:rsidRDefault="0058392B" w:rsidP="004D1010">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Saltiel and Maywah, </w:t>
      </w:r>
      <w:r w:rsidRPr="00367B37">
        <w:rPr>
          <w:rFonts w:ascii="Arial" w:hAnsi="Arial" w:cs="Arial"/>
          <w:i/>
          <w:sz w:val="18"/>
          <w:szCs w:val="18"/>
        </w:rPr>
        <w:t>Argentina: The Salta Water Public-Private Partnership</w:t>
      </w:r>
      <w:r w:rsidRPr="00367B37">
        <w:rPr>
          <w:rFonts w:ascii="Arial" w:hAnsi="Arial" w:cs="Arial"/>
          <w:sz w:val="18"/>
          <w:szCs w:val="18"/>
        </w:rPr>
        <w:t xml:space="preserve">, World Bank, 2007, </w:t>
      </w:r>
      <w:hyperlink r:id="rId28" w:history="1">
        <w:r w:rsidRPr="00367B37">
          <w:rPr>
            <w:rStyle w:val="Hyperlink"/>
            <w:rFonts w:ascii="Arial" w:hAnsi="Arial" w:cs="Arial"/>
            <w:sz w:val="18"/>
            <w:szCs w:val="18"/>
          </w:rPr>
          <w:t>http://siteresources.worldbank.org/INTENBREVE/Newsletters/21455620/Feb07_102_Salta_EN.pdf</w:t>
        </w:r>
      </w:hyperlink>
      <w:r w:rsidRPr="00367B37">
        <w:rPr>
          <w:rFonts w:ascii="Arial" w:hAnsi="Arial" w:cs="Arial"/>
          <w:sz w:val="18"/>
          <w:szCs w:val="18"/>
        </w:rPr>
        <w:t xml:space="preserve">. </w:t>
      </w:r>
    </w:p>
  </w:footnote>
  <w:footnote w:id="41">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World Bank, </w:t>
      </w:r>
      <w:r w:rsidRPr="00367B37">
        <w:rPr>
          <w:rFonts w:ascii="Arial" w:hAnsi="Arial" w:cs="Arial"/>
          <w:i/>
          <w:sz w:val="18"/>
          <w:szCs w:val="18"/>
        </w:rPr>
        <w:t>Project Information Document (PID) Concept Stage</w:t>
      </w:r>
      <w:r w:rsidRPr="00367B37">
        <w:rPr>
          <w:rFonts w:ascii="Arial" w:hAnsi="Arial" w:cs="Arial"/>
          <w:sz w:val="18"/>
          <w:szCs w:val="18"/>
        </w:rPr>
        <w:t xml:space="preserve">, </w:t>
      </w:r>
      <w:hyperlink r:id="rId29" w:history="1">
        <w:r w:rsidRPr="00367B37">
          <w:rPr>
            <w:rStyle w:val="Hyperlink"/>
            <w:rFonts w:ascii="Arial" w:hAnsi="Arial" w:cs="Arial"/>
            <w:sz w:val="18"/>
            <w:szCs w:val="18"/>
          </w:rPr>
          <w:t>http://www-wds.worldbank.org/external/default/WDSContentServer/WDSP/IB/2008/10/29/000076092_20081102145718/Rendered/PDF/Project0Inform1cument1Concept0Stage.pdf</w:t>
        </w:r>
      </w:hyperlink>
      <w:r w:rsidRPr="00367B37">
        <w:rPr>
          <w:rStyle w:val="Hyperlink"/>
          <w:rFonts w:ascii="Arial" w:hAnsi="Arial" w:cs="Arial"/>
          <w:sz w:val="18"/>
          <w:szCs w:val="18"/>
        </w:rPr>
        <w:t>.</w:t>
      </w:r>
    </w:p>
  </w:footnote>
  <w:footnote w:id="42">
    <w:p w:rsidR="0058392B" w:rsidRPr="001034C3"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World Bank, </w:t>
      </w:r>
      <w:r w:rsidRPr="00367B37">
        <w:rPr>
          <w:rFonts w:ascii="Arial" w:hAnsi="Arial" w:cs="Arial"/>
          <w:i/>
          <w:sz w:val="18"/>
          <w:szCs w:val="18"/>
        </w:rPr>
        <w:t>BR Sao Paulo Water Recovery Project – REAGUA</w:t>
      </w:r>
      <w:r w:rsidRPr="00367B37">
        <w:rPr>
          <w:rFonts w:ascii="Arial" w:hAnsi="Arial" w:cs="Arial"/>
          <w:sz w:val="18"/>
          <w:szCs w:val="18"/>
        </w:rPr>
        <w:t xml:space="preserve">, 2014, </w:t>
      </w:r>
      <w:hyperlink r:id="rId30" w:history="1">
        <w:r w:rsidRPr="00367B37">
          <w:rPr>
            <w:rStyle w:val="Hyperlink"/>
            <w:rFonts w:ascii="Arial" w:hAnsi="Arial" w:cs="Arial"/>
            <w:sz w:val="18"/>
            <w:szCs w:val="18"/>
          </w:rPr>
          <w:t>http://www.worldbank.org/projects/P106703/sao-paulo-water-recovery-project-reagua?lang=en</w:t>
        </w:r>
      </w:hyperlink>
      <w:r w:rsidRPr="00367B37">
        <w:rPr>
          <w:rStyle w:val="Hyperlink"/>
          <w:rFonts w:ascii="Arial" w:hAnsi="Arial" w:cs="Arial"/>
          <w:sz w:val="18"/>
          <w:szCs w:val="18"/>
        </w:rPr>
        <w:t>.</w:t>
      </w:r>
    </w:p>
  </w:footnote>
  <w:footnote w:id="43">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World Bank, </w:t>
      </w:r>
      <w:hyperlink r:id="rId31" w:history="1">
        <w:r w:rsidRPr="004937DC">
          <w:rPr>
            <w:rStyle w:val="Hyperlink"/>
            <w:rFonts w:ascii="Arial" w:hAnsi="Arial" w:cs="Arial"/>
            <w:sz w:val="18"/>
            <w:szCs w:val="18"/>
          </w:rPr>
          <w:t>http://www-wds.worldbank.org/external/default/WDSContentServer/WDSP/LCR/2014/02/24/090224b0822c18d7/1_0/Rendered/PDF/Brazil000BR0Sa0Report000Sequence007.pdf</w:t>
        </w:r>
      </w:hyperlink>
    </w:p>
  </w:footnote>
  <w:footnote w:id="44">
    <w:p w:rsidR="0058392B" w:rsidRPr="00367B37" w:rsidRDefault="0058392B" w:rsidP="00EB59E5">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bCs/>
          <w:i/>
          <w:sz w:val="18"/>
          <w:szCs w:val="18"/>
        </w:rPr>
        <w:t>Results-based financing mechanisms to improve governance in the infrastructure sectors PPT</w:t>
      </w:r>
      <w:r w:rsidRPr="00367B37">
        <w:rPr>
          <w:rFonts w:ascii="Arial" w:hAnsi="Arial" w:cs="Arial"/>
          <w:bCs/>
          <w:sz w:val="18"/>
          <w:szCs w:val="18"/>
        </w:rPr>
        <w:t>, 2010.</w:t>
      </w:r>
    </w:p>
  </w:footnote>
  <w:footnote w:id="45">
    <w:p w:rsidR="0058392B" w:rsidRPr="001034C3" w:rsidRDefault="0058392B">
      <w:pPr>
        <w:pStyle w:val="FootnoteText"/>
        <w:rPr>
          <w:rFonts w:ascii="Arial" w:hAnsi="Arial" w:cs="Arial"/>
        </w:rPr>
      </w:pPr>
      <w:r w:rsidRPr="00367B37">
        <w:rPr>
          <w:rStyle w:val="FootnoteReference"/>
          <w:rFonts w:ascii="Arial" w:hAnsi="Arial" w:cs="Arial"/>
          <w:sz w:val="18"/>
          <w:szCs w:val="18"/>
        </w:rPr>
        <w:footnoteRef/>
      </w:r>
      <w:r w:rsidRPr="00367B37">
        <w:rPr>
          <w:rFonts w:ascii="Arial" w:hAnsi="Arial" w:cs="Arial"/>
          <w:bCs/>
          <w:sz w:val="18"/>
          <w:szCs w:val="18"/>
        </w:rPr>
        <w:t>Ibid.</w:t>
      </w:r>
    </w:p>
  </w:footnote>
  <w:footnote w:id="46">
    <w:p w:rsidR="0058392B" w:rsidRPr="00367B37" w:rsidRDefault="0058392B" w:rsidP="00783AC5">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City of Zagreb, City Office for Economy, Labor and Entrepreneurship, 2013, </w:t>
      </w:r>
      <w:hyperlink r:id="rId32" w:history="1">
        <w:r w:rsidRPr="00367B37">
          <w:rPr>
            <w:rStyle w:val="Hyperlink"/>
            <w:rFonts w:ascii="Arial" w:hAnsi="Arial" w:cs="Arial"/>
            <w:sz w:val="18"/>
            <w:szCs w:val="18"/>
          </w:rPr>
          <w:t>www.zagreb.hr/UserDocsImages/ENG%20ozujak.pptx</w:t>
        </w:r>
      </w:hyperlink>
      <w:r w:rsidRPr="00367B37">
        <w:rPr>
          <w:rFonts w:ascii="Arial" w:hAnsi="Arial" w:cs="Arial"/>
          <w:sz w:val="18"/>
          <w:szCs w:val="18"/>
        </w:rPr>
        <w:t xml:space="preserve">. </w:t>
      </w:r>
    </w:p>
  </w:footnote>
  <w:footnote w:id="47">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IJGlobal, </w:t>
      </w:r>
      <w:r w:rsidRPr="00367B37">
        <w:rPr>
          <w:rFonts w:ascii="Arial" w:hAnsi="Arial" w:cs="Arial"/>
          <w:i/>
          <w:sz w:val="18"/>
          <w:szCs w:val="18"/>
        </w:rPr>
        <w:t>ZOV Wastewater Project</w:t>
      </w:r>
      <w:r w:rsidRPr="00367B37">
        <w:rPr>
          <w:rFonts w:ascii="Arial" w:hAnsi="Arial" w:cs="Arial"/>
          <w:sz w:val="18"/>
          <w:szCs w:val="18"/>
        </w:rPr>
        <w:t xml:space="preserve">, 2003, </w:t>
      </w:r>
      <w:hyperlink r:id="rId33" w:history="1">
        <w:r w:rsidRPr="00367B37">
          <w:rPr>
            <w:rStyle w:val="Hyperlink"/>
            <w:rFonts w:ascii="Arial" w:hAnsi="Arial" w:cs="Arial"/>
            <w:sz w:val="18"/>
            <w:szCs w:val="18"/>
          </w:rPr>
          <w:t>http://www.ijonline.com/articles/14763/zov-wastewater-project</w:t>
        </w:r>
      </w:hyperlink>
      <w:r w:rsidRPr="00367B37">
        <w:rPr>
          <w:rFonts w:ascii="Arial" w:hAnsi="Arial" w:cs="Arial"/>
          <w:sz w:val="18"/>
          <w:szCs w:val="18"/>
        </w:rPr>
        <w:t xml:space="preserve">.  </w:t>
      </w:r>
    </w:p>
  </w:footnote>
  <w:footnote w:id="48">
    <w:p w:rsidR="0058392B" w:rsidRPr="00367B37" w:rsidRDefault="0058392B">
      <w:pPr>
        <w:pStyle w:val="FootnoteText"/>
        <w:rPr>
          <w:rFonts w:ascii="Arial" w:hAnsi="Arial" w:cs="Arial"/>
          <w:sz w:val="18"/>
          <w:szCs w:val="18"/>
        </w:rPr>
      </w:pPr>
      <w:r w:rsidRPr="00367B37">
        <w:rPr>
          <w:rStyle w:val="FootnoteReference"/>
          <w:rFonts w:ascii="Arial" w:hAnsi="Arial" w:cs="Arial"/>
          <w:sz w:val="18"/>
          <w:szCs w:val="18"/>
        </w:rPr>
        <w:footnoteRef/>
      </w:r>
      <w:r w:rsidRPr="00367B37">
        <w:rPr>
          <w:rFonts w:ascii="Arial" w:hAnsi="Arial" w:cs="Arial"/>
          <w:sz w:val="18"/>
          <w:szCs w:val="18"/>
        </w:rPr>
        <w:t xml:space="preserve"> Bank Watch, </w:t>
      </w:r>
      <w:r w:rsidRPr="00367B37">
        <w:rPr>
          <w:rFonts w:ascii="Arial" w:hAnsi="Arial" w:cs="Arial"/>
          <w:i/>
          <w:sz w:val="18"/>
          <w:szCs w:val="18"/>
        </w:rPr>
        <w:t>Zagreb Wastewater Treatment, Croatia</w:t>
      </w:r>
      <w:r w:rsidRPr="00367B37">
        <w:rPr>
          <w:rFonts w:ascii="Arial" w:hAnsi="Arial" w:cs="Arial"/>
          <w:sz w:val="18"/>
          <w:szCs w:val="18"/>
        </w:rPr>
        <w:t xml:space="preserve">, </w:t>
      </w:r>
      <w:hyperlink r:id="rId34" w:history="1">
        <w:r w:rsidRPr="00367B37">
          <w:rPr>
            <w:rStyle w:val="Hyperlink"/>
            <w:rFonts w:ascii="Arial" w:hAnsi="Arial" w:cs="Arial"/>
            <w:sz w:val="18"/>
            <w:szCs w:val="18"/>
          </w:rPr>
          <w:t>http://bankwatch.org/documents/PPPs/PPP-Zagreb-wastewater.pdf</w:t>
        </w:r>
      </w:hyperlink>
      <w:r w:rsidRPr="00367B37">
        <w:rPr>
          <w:rFonts w:ascii="Arial" w:hAnsi="Arial" w:cs="Arial"/>
          <w:sz w:val="18"/>
          <w:szCs w:val="18"/>
        </w:rPr>
        <w:t xml:space="preserve">. </w:t>
      </w:r>
    </w:p>
  </w:footnote>
  <w:footnote w:id="49">
    <w:p w:rsidR="0058392B" w:rsidRPr="001034C3" w:rsidRDefault="0058392B">
      <w:pPr>
        <w:pStyle w:val="FootnoteText"/>
        <w:rPr>
          <w:rFonts w:ascii="Arial" w:hAnsi="Arial" w:cs="Arial"/>
        </w:rPr>
      </w:pPr>
      <w:r w:rsidRPr="00367B37">
        <w:rPr>
          <w:rStyle w:val="FootnoteReference"/>
          <w:rFonts w:ascii="Arial" w:hAnsi="Arial" w:cs="Arial"/>
          <w:sz w:val="18"/>
          <w:szCs w:val="18"/>
        </w:rPr>
        <w:footnoteRef/>
      </w:r>
      <w:r w:rsidRPr="00367B37">
        <w:rPr>
          <w:rFonts w:ascii="Arial" w:hAnsi="Arial" w:cs="Arial"/>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2B" w:rsidRPr="00DB0A27" w:rsidRDefault="0058392B" w:rsidP="00DB0A27">
    <w:pPr>
      <w:pStyle w:val="Deloitte2"/>
      <w:spacing w:before="0" w:after="0"/>
      <w:rPr>
        <w:rFonts w:eastAsiaTheme="minorHAnsi"/>
        <w:b w:val="0"/>
        <w:bCs w:val="0"/>
        <w:iCs w:val="0"/>
        <w:color w:val="auto"/>
        <w:sz w:val="18"/>
        <w:szCs w:val="22"/>
      </w:rPr>
    </w:pPr>
    <w:r w:rsidRPr="00DB0A27">
      <w:rPr>
        <w:rFonts w:eastAsiaTheme="minorHAnsi"/>
        <w:b w:val="0"/>
        <w:bCs w:val="0"/>
        <w:iCs w:val="0"/>
        <w:color w:val="auto"/>
        <w:sz w:val="20"/>
        <w:szCs w:val="22"/>
      </w:rPr>
      <w:t xml:space="preserve">PPPs in </w:t>
    </w:r>
    <w:r>
      <w:rPr>
        <w:rFonts w:eastAsiaTheme="minorHAnsi"/>
        <w:b w:val="0"/>
        <w:bCs w:val="0"/>
        <w:iCs w:val="0"/>
        <w:color w:val="auto"/>
        <w:sz w:val="20"/>
        <w:szCs w:val="22"/>
      </w:rPr>
      <w:t xml:space="preserve">the </w:t>
    </w:r>
    <w:r w:rsidRPr="00DB0A27">
      <w:rPr>
        <w:rFonts w:eastAsiaTheme="minorHAnsi"/>
        <w:b w:val="0"/>
        <w:bCs w:val="0"/>
        <w:iCs w:val="0"/>
        <w:color w:val="auto"/>
        <w:sz w:val="20"/>
        <w:szCs w:val="22"/>
      </w:rPr>
      <w:t>Delivery of Wastewater and Sludge Treatment Services</w:t>
    </w:r>
    <w:r w:rsidRPr="00DB0A27">
      <w:rPr>
        <w:b w:val="0"/>
        <w:sz w:val="28"/>
      </w:rPr>
      <w:tab/>
    </w:r>
    <w:r w:rsidRPr="00DB0A27">
      <w:rPr>
        <w:b w:val="0"/>
        <w:sz w:val="28"/>
      </w:rPr>
      <w:tab/>
    </w:r>
    <w:r w:rsidRPr="00DB0A27">
      <w:rPr>
        <w:b w:val="0"/>
        <w:sz w:val="28"/>
      </w:rPr>
      <w:tab/>
    </w:r>
    <w:r w:rsidRPr="00DB0A27">
      <w:rPr>
        <w:b w:val="0"/>
        <w:color w:val="auto"/>
        <w:sz w:val="20"/>
      </w:rPr>
      <w:fldChar w:fldCharType="begin"/>
    </w:r>
    <w:r w:rsidRPr="00DB0A27">
      <w:rPr>
        <w:b w:val="0"/>
        <w:color w:val="auto"/>
        <w:sz w:val="20"/>
      </w:rPr>
      <w:instrText xml:space="preserve"> DATE \@ "M/d/yyyy" </w:instrText>
    </w:r>
    <w:r w:rsidRPr="00DB0A27">
      <w:rPr>
        <w:b w:val="0"/>
        <w:color w:val="auto"/>
        <w:sz w:val="20"/>
      </w:rPr>
      <w:fldChar w:fldCharType="separate"/>
    </w:r>
    <w:r w:rsidR="00310D4D">
      <w:rPr>
        <w:b w:val="0"/>
        <w:noProof/>
        <w:color w:val="auto"/>
        <w:sz w:val="20"/>
      </w:rPr>
      <w:t>3/23/2015</w:t>
    </w:r>
    <w:r w:rsidRPr="00DB0A27">
      <w:rPr>
        <w:b w:val="0"/>
        <w:color w:val="auto"/>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667"/>
    <w:multiLevelType w:val="hybridMultilevel"/>
    <w:tmpl w:val="53B4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326B"/>
    <w:multiLevelType w:val="hybridMultilevel"/>
    <w:tmpl w:val="FDC8A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366526"/>
    <w:multiLevelType w:val="hybridMultilevel"/>
    <w:tmpl w:val="4ADA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C6B40"/>
    <w:multiLevelType w:val="hybridMultilevel"/>
    <w:tmpl w:val="7BA2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C30BB"/>
    <w:multiLevelType w:val="hybridMultilevel"/>
    <w:tmpl w:val="546C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10F2A"/>
    <w:multiLevelType w:val="hybridMultilevel"/>
    <w:tmpl w:val="716CBE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F87288"/>
    <w:multiLevelType w:val="hybridMultilevel"/>
    <w:tmpl w:val="19BA4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21842"/>
    <w:multiLevelType w:val="hybridMultilevel"/>
    <w:tmpl w:val="B132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624EA"/>
    <w:multiLevelType w:val="hybridMultilevel"/>
    <w:tmpl w:val="6E6A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1574F"/>
    <w:multiLevelType w:val="hybridMultilevel"/>
    <w:tmpl w:val="5E3C78D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5293061F"/>
    <w:multiLevelType w:val="hybridMultilevel"/>
    <w:tmpl w:val="EBA82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7C2EE0"/>
    <w:multiLevelType w:val="hybridMultilevel"/>
    <w:tmpl w:val="165E984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EAA72CD"/>
    <w:multiLevelType w:val="hybridMultilevel"/>
    <w:tmpl w:val="D09A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76292"/>
    <w:multiLevelType w:val="hybridMultilevel"/>
    <w:tmpl w:val="82686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F773E"/>
    <w:multiLevelType w:val="hybridMultilevel"/>
    <w:tmpl w:val="C8BC5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C0081"/>
    <w:multiLevelType w:val="hybridMultilevel"/>
    <w:tmpl w:val="7D00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9"/>
  </w:num>
  <w:num w:numId="5">
    <w:abstractNumId w:val="1"/>
  </w:num>
  <w:num w:numId="6">
    <w:abstractNumId w:val="0"/>
  </w:num>
  <w:num w:numId="7">
    <w:abstractNumId w:val="3"/>
  </w:num>
  <w:num w:numId="8">
    <w:abstractNumId w:val="15"/>
  </w:num>
  <w:num w:numId="9">
    <w:abstractNumId w:val="4"/>
  </w:num>
  <w:num w:numId="10">
    <w:abstractNumId w:val="5"/>
  </w:num>
  <w:num w:numId="11">
    <w:abstractNumId w:val="2"/>
  </w:num>
  <w:num w:numId="12">
    <w:abstractNumId w:val="11"/>
  </w:num>
  <w:num w:numId="13">
    <w:abstractNumId w:val="13"/>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E2"/>
    <w:rsid w:val="00000A94"/>
    <w:rsid w:val="00004C3F"/>
    <w:rsid w:val="0000511A"/>
    <w:rsid w:val="00007425"/>
    <w:rsid w:val="000076D7"/>
    <w:rsid w:val="0001002D"/>
    <w:rsid w:val="00011525"/>
    <w:rsid w:val="00011CCB"/>
    <w:rsid w:val="00012525"/>
    <w:rsid w:val="0001302E"/>
    <w:rsid w:val="000165FF"/>
    <w:rsid w:val="0001678B"/>
    <w:rsid w:val="00016B32"/>
    <w:rsid w:val="0001777B"/>
    <w:rsid w:val="00021460"/>
    <w:rsid w:val="000215D8"/>
    <w:rsid w:val="000223F5"/>
    <w:rsid w:val="00026A39"/>
    <w:rsid w:val="0002767C"/>
    <w:rsid w:val="00031308"/>
    <w:rsid w:val="00031C2E"/>
    <w:rsid w:val="00032835"/>
    <w:rsid w:val="00032C71"/>
    <w:rsid w:val="00034A26"/>
    <w:rsid w:val="000402D5"/>
    <w:rsid w:val="00041166"/>
    <w:rsid w:val="00047ADB"/>
    <w:rsid w:val="00051584"/>
    <w:rsid w:val="00053A4D"/>
    <w:rsid w:val="00054573"/>
    <w:rsid w:val="000571AD"/>
    <w:rsid w:val="00060E9C"/>
    <w:rsid w:val="000610AA"/>
    <w:rsid w:val="0006542B"/>
    <w:rsid w:val="0006542F"/>
    <w:rsid w:val="00070B6B"/>
    <w:rsid w:val="00073361"/>
    <w:rsid w:val="0007515F"/>
    <w:rsid w:val="00077F1D"/>
    <w:rsid w:val="00085562"/>
    <w:rsid w:val="000868FF"/>
    <w:rsid w:val="00086A39"/>
    <w:rsid w:val="000921EF"/>
    <w:rsid w:val="000931F5"/>
    <w:rsid w:val="00094046"/>
    <w:rsid w:val="000A04F5"/>
    <w:rsid w:val="000A0BFB"/>
    <w:rsid w:val="000A4007"/>
    <w:rsid w:val="000A68AE"/>
    <w:rsid w:val="000A6BEE"/>
    <w:rsid w:val="000A6C98"/>
    <w:rsid w:val="000B0C05"/>
    <w:rsid w:val="000B11FE"/>
    <w:rsid w:val="000B1624"/>
    <w:rsid w:val="000B192B"/>
    <w:rsid w:val="000B3245"/>
    <w:rsid w:val="000B464B"/>
    <w:rsid w:val="000B5B1A"/>
    <w:rsid w:val="000B7E18"/>
    <w:rsid w:val="000C3392"/>
    <w:rsid w:val="000C7639"/>
    <w:rsid w:val="000C7884"/>
    <w:rsid w:val="000D07DA"/>
    <w:rsid w:val="000D306A"/>
    <w:rsid w:val="000D32BE"/>
    <w:rsid w:val="000D52BF"/>
    <w:rsid w:val="000E1336"/>
    <w:rsid w:val="000E5841"/>
    <w:rsid w:val="000E5A85"/>
    <w:rsid w:val="000E665E"/>
    <w:rsid w:val="000F060D"/>
    <w:rsid w:val="000F0A4C"/>
    <w:rsid w:val="000F3B0C"/>
    <w:rsid w:val="000F4EA9"/>
    <w:rsid w:val="000F6B73"/>
    <w:rsid w:val="001000F7"/>
    <w:rsid w:val="001017F7"/>
    <w:rsid w:val="001025FC"/>
    <w:rsid w:val="001031E1"/>
    <w:rsid w:val="001034C3"/>
    <w:rsid w:val="00104420"/>
    <w:rsid w:val="00105206"/>
    <w:rsid w:val="00105D96"/>
    <w:rsid w:val="00107151"/>
    <w:rsid w:val="00110110"/>
    <w:rsid w:val="0011015A"/>
    <w:rsid w:val="0011305E"/>
    <w:rsid w:val="0011565B"/>
    <w:rsid w:val="00115DF6"/>
    <w:rsid w:val="00117A33"/>
    <w:rsid w:val="00120388"/>
    <w:rsid w:val="001209D6"/>
    <w:rsid w:val="00122AD7"/>
    <w:rsid w:val="001232C0"/>
    <w:rsid w:val="00126231"/>
    <w:rsid w:val="00127A07"/>
    <w:rsid w:val="00127CF5"/>
    <w:rsid w:val="0013186C"/>
    <w:rsid w:val="00132488"/>
    <w:rsid w:val="00134A55"/>
    <w:rsid w:val="001356A7"/>
    <w:rsid w:val="001356E4"/>
    <w:rsid w:val="00136140"/>
    <w:rsid w:val="0013747F"/>
    <w:rsid w:val="0014164C"/>
    <w:rsid w:val="00142ED8"/>
    <w:rsid w:val="0014675B"/>
    <w:rsid w:val="00146E8E"/>
    <w:rsid w:val="00151E70"/>
    <w:rsid w:val="00152714"/>
    <w:rsid w:val="00152DC5"/>
    <w:rsid w:val="00153969"/>
    <w:rsid w:val="00154526"/>
    <w:rsid w:val="00155EE9"/>
    <w:rsid w:val="00155EF0"/>
    <w:rsid w:val="00156EF0"/>
    <w:rsid w:val="00162C89"/>
    <w:rsid w:val="0016375F"/>
    <w:rsid w:val="00164194"/>
    <w:rsid w:val="001700DF"/>
    <w:rsid w:val="001700ED"/>
    <w:rsid w:val="0017109B"/>
    <w:rsid w:val="00173A83"/>
    <w:rsid w:val="001743AC"/>
    <w:rsid w:val="00174E73"/>
    <w:rsid w:val="00180013"/>
    <w:rsid w:val="00182F43"/>
    <w:rsid w:val="001905A7"/>
    <w:rsid w:val="0019619E"/>
    <w:rsid w:val="00196A43"/>
    <w:rsid w:val="001A228F"/>
    <w:rsid w:val="001A24AD"/>
    <w:rsid w:val="001A2FEB"/>
    <w:rsid w:val="001A3782"/>
    <w:rsid w:val="001A386E"/>
    <w:rsid w:val="001A3ED4"/>
    <w:rsid w:val="001A5105"/>
    <w:rsid w:val="001A5905"/>
    <w:rsid w:val="001A6778"/>
    <w:rsid w:val="001A6B7E"/>
    <w:rsid w:val="001A6C15"/>
    <w:rsid w:val="001A7393"/>
    <w:rsid w:val="001B1331"/>
    <w:rsid w:val="001B2A21"/>
    <w:rsid w:val="001B443E"/>
    <w:rsid w:val="001C034F"/>
    <w:rsid w:val="001C2270"/>
    <w:rsid w:val="001C2EA1"/>
    <w:rsid w:val="001C5D03"/>
    <w:rsid w:val="001C601B"/>
    <w:rsid w:val="001C6AE2"/>
    <w:rsid w:val="001D0F8B"/>
    <w:rsid w:val="001D23F4"/>
    <w:rsid w:val="001D2E36"/>
    <w:rsid w:val="001D5923"/>
    <w:rsid w:val="001D6D2D"/>
    <w:rsid w:val="001E22A0"/>
    <w:rsid w:val="001E28EA"/>
    <w:rsid w:val="001E4F43"/>
    <w:rsid w:val="001E7F20"/>
    <w:rsid w:val="001F0835"/>
    <w:rsid w:val="001F13EA"/>
    <w:rsid w:val="001F1618"/>
    <w:rsid w:val="001F20A8"/>
    <w:rsid w:val="001F4EE3"/>
    <w:rsid w:val="001F7CF5"/>
    <w:rsid w:val="00202449"/>
    <w:rsid w:val="0020261F"/>
    <w:rsid w:val="0020390C"/>
    <w:rsid w:val="0020594E"/>
    <w:rsid w:val="00207B01"/>
    <w:rsid w:val="002114B8"/>
    <w:rsid w:val="00212492"/>
    <w:rsid w:val="00212922"/>
    <w:rsid w:val="00217BCE"/>
    <w:rsid w:val="00220DCD"/>
    <w:rsid w:val="0022102C"/>
    <w:rsid w:val="00222975"/>
    <w:rsid w:val="00223F5D"/>
    <w:rsid w:val="00224265"/>
    <w:rsid w:val="0022531F"/>
    <w:rsid w:val="00226756"/>
    <w:rsid w:val="002267DB"/>
    <w:rsid w:val="0023047B"/>
    <w:rsid w:val="00231DE3"/>
    <w:rsid w:val="00233872"/>
    <w:rsid w:val="00236633"/>
    <w:rsid w:val="00241539"/>
    <w:rsid w:val="00245471"/>
    <w:rsid w:val="0024547C"/>
    <w:rsid w:val="002517BA"/>
    <w:rsid w:val="002543BD"/>
    <w:rsid w:val="00254B71"/>
    <w:rsid w:val="00256AF5"/>
    <w:rsid w:val="00262C1B"/>
    <w:rsid w:val="00263C83"/>
    <w:rsid w:val="00264010"/>
    <w:rsid w:val="002669D0"/>
    <w:rsid w:val="002703C4"/>
    <w:rsid w:val="00271659"/>
    <w:rsid w:val="00271ADC"/>
    <w:rsid w:val="00271ADF"/>
    <w:rsid w:val="00271BEC"/>
    <w:rsid w:val="00275B57"/>
    <w:rsid w:val="002779B2"/>
    <w:rsid w:val="00277A55"/>
    <w:rsid w:val="00277D49"/>
    <w:rsid w:val="00280826"/>
    <w:rsid w:val="002823CE"/>
    <w:rsid w:val="00282B17"/>
    <w:rsid w:val="002904BA"/>
    <w:rsid w:val="00290AD4"/>
    <w:rsid w:val="00290E08"/>
    <w:rsid w:val="002950F0"/>
    <w:rsid w:val="002961F6"/>
    <w:rsid w:val="00296E4F"/>
    <w:rsid w:val="002A26EB"/>
    <w:rsid w:val="002A30D1"/>
    <w:rsid w:val="002A50A4"/>
    <w:rsid w:val="002B4636"/>
    <w:rsid w:val="002B62F5"/>
    <w:rsid w:val="002C0754"/>
    <w:rsid w:val="002C3913"/>
    <w:rsid w:val="002C49E7"/>
    <w:rsid w:val="002C4BE7"/>
    <w:rsid w:val="002C539A"/>
    <w:rsid w:val="002C6EC1"/>
    <w:rsid w:val="002D32D2"/>
    <w:rsid w:val="002D4E2B"/>
    <w:rsid w:val="002D680B"/>
    <w:rsid w:val="002D7AC3"/>
    <w:rsid w:val="002E3874"/>
    <w:rsid w:val="002E3E58"/>
    <w:rsid w:val="002E70CB"/>
    <w:rsid w:val="002E731D"/>
    <w:rsid w:val="002E7BFE"/>
    <w:rsid w:val="002E7F90"/>
    <w:rsid w:val="002F387C"/>
    <w:rsid w:val="002F4A2C"/>
    <w:rsid w:val="002F4EDE"/>
    <w:rsid w:val="002F5068"/>
    <w:rsid w:val="002F5B97"/>
    <w:rsid w:val="002F63F2"/>
    <w:rsid w:val="002F6946"/>
    <w:rsid w:val="00300508"/>
    <w:rsid w:val="003063D1"/>
    <w:rsid w:val="00310D4D"/>
    <w:rsid w:val="00312095"/>
    <w:rsid w:val="00315558"/>
    <w:rsid w:val="0031649F"/>
    <w:rsid w:val="00317A9C"/>
    <w:rsid w:val="00320242"/>
    <w:rsid w:val="0032107B"/>
    <w:rsid w:val="00321677"/>
    <w:rsid w:val="00322736"/>
    <w:rsid w:val="00324CA7"/>
    <w:rsid w:val="003277B4"/>
    <w:rsid w:val="00330373"/>
    <w:rsid w:val="00333001"/>
    <w:rsid w:val="003336E6"/>
    <w:rsid w:val="0033386E"/>
    <w:rsid w:val="0033389D"/>
    <w:rsid w:val="00334718"/>
    <w:rsid w:val="00340ABA"/>
    <w:rsid w:val="00340EB1"/>
    <w:rsid w:val="003441B2"/>
    <w:rsid w:val="003459B9"/>
    <w:rsid w:val="00350D0F"/>
    <w:rsid w:val="00356BBB"/>
    <w:rsid w:val="00357802"/>
    <w:rsid w:val="00357DE2"/>
    <w:rsid w:val="00360010"/>
    <w:rsid w:val="003635F8"/>
    <w:rsid w:val="00364C9C"/>
    <w:rsid w:val="00365020"/>
    <w:rsid w:val="0036530F"/>
    <w:rsid w:val="003674B4"/>
    <w:rsid w:val="00367B37"/>
    <w:rsid w:val="00371A67"/>
    <w:rsid w:val="00371AF0"/>
    <w:rsid w:val="00372BEC"/>
    <w:rsid w:val="00372C90"/>
    <w:rsid w:val="003801C9"/>
    <w:rsid w:val="00380662"/>
    <w:rsid w:val="00380CF2"/>
    <w:rsid w:val="00382F49"/>
    <w:rsid w:val="00383241"/>
    <w:rsid w:val="00383661"/>
    <w:rsid w:val="003843A2"/>
    <w:rsid w:val="00386B7B"/>
    <w:rsid w:val="003878FA"/>
    <w:rsid w:val="00390627"/>
    <w:rsid w:val="00392302"/>
    <w:rsid w:val="003928FB"/>
    <w:rsid w:val="00395D94"/>
    <w:rsid w:val="003965E7"/>
    <w:rsid w:val="0039661C"/>
    <w:rsid w:val="00396AC8"/>
    <w:rsid w:val="00396F69"/>
    <w:rsid w:val="003A3EB7"/>
    <w:rsid w:val="003A4717"/>
    <w:rsid w:val="003A5F4C"/>
    <w:rsid w:val="003B0089"/>
    <w:rsid w:val="003B118E"/>
    <w:rsid w:val="003B1406"/>
    <w:rsid w:val="003B6DA6"/>
    <w:rsid w:val="003B6FAB"/>
    <w:rsid w:val="003C098B"/>
    <w:rsid w:val="003C0E82"/>
    <w:rsid w:val="003C3D82"/>
    <w:rsid w:val="003C427E"/>
    <w:rsid w:val="003C4C69"/>
    <w:rsid w:val="003C5118"/>
    <w:rsid w:val="003C7925"/>
    <w:rsid w:val="003D11BF"/>
    <w:rsid w:val="003D130E"/>
    <w:rsid w:val="003D31F7"/>
    <w:rsid w:val="003D380D"/>
    <w:rsid w:val="003D6454"/>
    <w:rsid w:val="003D700E"/>
    <w:rsid w:val="003D7DA6"/>
    <w:rsid w:val="003E5BF6"/>
    <w:rsid w:val="003E5D41"/>
    <w:rsid w:val="003E7FDF"/>
    <w:rsid w:val="003F05EE"/>
    <w:rsid w:val="003F0CAD"/>
    <w:rsid w:val="003F192E"/>
    <w:rsid w:val="003F20DA"/>
    <w:rsid w:val="003F356E"/>
    <w:rsid w:val="003F483E"/>
    <w:rsid w:val="003F486F"/>
    <w:rsid w:val="003F7820"/>
    <w:rsid w:val="003F7B72"/>
    <w:rsid w:val="00402321"/>
    <w:rsid w:val="00402FF1"/>
    <w:rsid w:val="00403E2A"/>
    <w:rsid w:val="00412483"/>
    <w:rsid w:val="004139A5"/>
    <w:rsid w:val="0041519D"/>
    <w:rsid w:val="0041561C"/>
    <w:rsid w:val="00415787"/>
    <w:rsid w:val="00417666"/>
    <w:rsid w:val="004271AF"/>
    <w:rsid w:val="00430AC7"/>
    <w:rsid w:val="004313C2"/>
    <w:rsid w:val="004323FC"/>
    <w:rsid w:val="004337D1"/>
    <w:rsid w:val="004352BC"/>
    <w:rsid w:val="0043753C"/>
    <w:rsid w:val="00446660"/>
    <w:rsid w:val="004527E0"/>
    <w:rsid w:val="00453272"/>
    <w:rsid w:val="0045745D"/>
    <w:rsid w:val="00461E9A"/>
    <w:rsid w:val="00463950"/>
    <w:rsid w:val="00464689"/>
    <w:rsid w:val="00464D65"/>
    <w:rsid w:val="004666DC"/>
    <w:rsid w:val="00466C92"/>
    <w:rsid w:val="00467835"/>
    <w:rsid w:val="0047046B"/>
    <w:rsid w:val="00470C9E"/>
    <w:rsid w:val="00473954"/>
    <w:rsid w:val="004777B3"/>
    <w:rsid w:val="0048559D"/>
    <w:rsid w:val="0048626B"/>
    <w:rsid w:val="0048758C"/>
    <w:rsid w:val="00490C6C"/>
    <w:rsid w:val="00490F9C"/>
    <w:rsid w:val="00491E15"/>
    <w:rsid w:val="00494947"/>
    <w:rsid w:val="004959D3"/>
    <w:rsid w:val="00495F3F"/>
    <w:rsid w:val="0049685D"/>
    <w:rsid w:val="00497931"/>
    <w:rsid w:val="00497CEE"/>
    <w:rsid w:val="004A07F3"/>
    <w:rsid w:val="004A1A49"/>
    <w:rsid w:val="004A1D92"/>
    <w:rsid w:val="004A3761"/>
    <w:rsid w:val="004A4C6B"/>
    <w:rsid w:val="004A62BC"/>
    <w:rsid w:val="004A7A9C"/>
    <w:rsid w:val="004B43E0"/>
    <w:rsid w:val="004B460D"/>
    <w:rsid w:val="004B5C3A"/>
    <w:rsid w:val="004B656A"/>
    <w:rsid w:val="004B7788"/>
    <w:rsid w:val="004C0089"/>
    <w:rsid w:val="004C26F3"/>
    <w:rsid w:val="004C29A0"/>
    <w:rsid w:val="004C3C02"/>
    <w:rsid w:val="004C3F09"/>
    <w:rsid w:val="004C5274"/>
    <w:rsid w:val="004C62B2"/>
    <w:rsid w:val="004C79CD"/>
    <w:rsid w:val="004D06AC"/>
    <w:rsid w:val="004D1010"/>
    <w:rsid w:val="004D2B77"/>
    <w:rsid w:val="004D6167"/>
    <w:rsid w:val="004D7094"/>
    <w:rsid w:val="004E1860"/>
    <w:rsid w:val="004E1D75"/>
    <w:rsid w:val="004E22C4"/>
    <w:rsid w:val="004E4571"/>
    <w:rsid w:val="004E4619"/>
    <w:rsid w:val="004F0767"/>
    <w:rsid w:val="004F217A"/>
    <w:rsid w:val="004F46E7"/>
    <w:rsid w:val="004F47F6"/>
    <w:rsid w:val="004F50A1"/>
    <w:rsid w:val="004F7FF9"/>
    <w:rsid w:val="00500EED"/>
    <w:rsid w:val="00501672"/>
    <w:rsid w:val="005017F6"/>
    <w:rsid w:val="0050701E"/>
    <w:rsid w:val="00512900"/>
    <w:rsid w:val="00512ACE"/>
    <w:rsid w:val="0051411F"/>
    <w:rsid w:val="005156F2"/>
    <w:rsid w:val="00515DFE"/>
    <w:rsid w:val="00516C07"/>
    <w:rsid w:val="00516D06"/>
    <w:rsid w:val="00517EB8"/>
    <w:rsid w:val="0052186A"/>
    <w:rsid w:val="005220C3"/>
    <w:rsid w:val="005228C1"/>
    <w:rsid w:val="005239C6"/>
    <w:rsid w:val="00523C56"/>
    <w:rsid w:val="0052432C"/>
    <w:rsid w:val="00524492"/>
    <w:rsid w:val="0052507E"/>
    <w:rsid w:val="005279A0"/>
    <w:rsid w:val="005300B5"/>
    <w:rsid w:val="005319B2"/>
    <w:rsid w:val="00533178"/>
    <w:rsid w:val="00534122"/>
    <w:rsid w:val="00543DD9"/>
    <w:rsid w:val="005450B4"/>
    <w:rsid w:val="00546359"/>
    <w:rsid w:val="00550079"/>
    <w:rsid w:val="005505E9"/>
    <w:rsid w:val="00550F50"/>
    <w:rsid w:val="00551445"/>
    <w:rsid w:val="005520FF"/>
    <w:rsid w:val="005527D2"/>
    <w:rsid w:val="005545F3"/>
    <w:rsid w:val="00555495"/>
    <w:rsid w:val="00556FE4"/>
    <w:rsid w:val="00560AD9"/>
    <w:rsid w:val="00560BCF"/>
    <w:rsid w:val="005642BC"/>
    <w:rsid w:val="00566D0C"/>
    <w:rsid w:val="005702C5"/>
    <w:rsid w:val="005749DC"/>
    <w:rsid w:val="00574D13"/>
    <w:rsid w:val="00577A5A"/>
    <w:rsid w:val="00580654"/>
    <w:rsid w:val="0058392B"/>
    <w:rsid w:val="00583991"/>
    <w:rsid w:val="00584BA0"/>
    <w:rsid w:val="0058548E"/>
    <w:rsid w:val="00586C33"/>
    <w:rsid w:val="005902EF"/>
    <w:rsid w:val="00592EEC"/>
    <w:rsid w:val="00593326"/>
    <w:rsid w:val="0059397B"/>
    <w:rsid w:val="00595491"/>
    <w:rsid w:val="00597909"/>
    <w:rsid w:val="005A27AD"/>
    <w:rsid w:val="005A5E30"/>
    <w:rsid w:val="005A679C"/>
    <w:rsid w:val="005B0869"/>
    <w:rsid w:val="005B0983"/>
    <w:rsid w:val="005B2E7A"/>
    <w:rsid w:val="005B394B"/>
    <w:rsid w:val="005B3D6B"/>
    <w:rsid w:val="005B6E2F"/>
    <w:rsid w:val="005B794F"/>
    <w:rsid w:val="005C492A"/>
    <w:rsid w:val="005C6DC0"/>
    <w:rsid w:val="005C7207"/>
    <w:rsid w:val="005C7448"/>
    <w:rsid w:val="005C7B36"/>
    <w:rsid w:val="005D04D3"/>
    <w:rsid w:val="005D1D61"/>
    <w:rsid w:val="005D22CB"/>
    <w:rsid w:val="005D2D84"/>
    <w:rsid w:val="005D305E"/>
    <w:rsid w:val="005D333F"/>
    <w:rsid w:val="005D5F52"/>
    <w:rsid w:val="005D6CB9"/>
    <w:rsid w:val="005D75F9"/>
    <w:rsid w:val="005E139A"/>
    <w:rsid w:val="005E1D78"/>
    <w:rsid w:val="005E25D6"/>
    <w:rsid w:val="005E6BAA"/>
    <w:rsid w:val="005F0134"/>
    <w:rsid w:val="005F350D"/>
    <w:rsid w:val="005F5222"/>
    <w:rsid w:val="005F5D88"/>
    <w:rsid w:val="005F6C1E"/>
    <w:rsid w:val="005F7904"/>
    <w:rsid w:val="0060004A"/>
    <w:rsid w:val="00600098"/>
    <w:rsid w:val="00600244"/>
    <w:rsid w:val="006015AA"/>
    <w:rsid w:val="00601FC2"/>
    <w:rsid w:val="00602C07"/>
    <w:rsid w:val="006109A4"/>
    <w:rsid w:val="006126E5"/>
    <w:rsid w:val="006129DD"/>
    <w:rsid w:val="00614351"/>
    <w:rsid w:val="00617AC7"/>
    <w:rsid w:val="00621AA4"/>
    <w:rsid w:val="00621D37"/>
    <w:rsid w:val="00622D06"/>
    <w:rsid w:val="00623A88"/>
    <w:rsid w:val="00623DE5"/>
    <w:rsid w:val="006253CD"/>
    <w:rsid w:val="00625B55"/>
    <w:rsid w:val="0063115D"/>
    <w:rsid w:val="00631806"/>
    <w:rsid w:val="006409F5"/>
    <w:rsid w:val="0064342C"/>
    <w:rsid w:val="00645FA6"/>
    <w:rsid w:val="006470DF"/>
    <w:rsid w:val="006501AF"/>
    <w:rsid w:val="00651EAC"/>
    <w:rsid w:val="0065224C"/>
    <w:rsid w:val="00652C54"/>
    <w:rsid w:val="00655CD4"/>
    <w:rsid w:val="00656075"/>
    <w:rsid w:val="00657093"/>
    <w:rsid w:val="00663643"/>
    <w:rsid w:val="0066420D"/>
    <w:rsid w:val="0066521F"/>
    <w:rsid w:val="006666D8"/>
    <w:rsid w:val="00667857"/>
    <w:rsid w:val="00671DB2"/>
    <w:rsid w:val="0067358F"/>
    <w:rsid w:val="006737AB"/>
    <w:rsid w:val="00673B1D"/>
    <w:rsid w:val="006740E2"/>
    <w:rsid w:val="006747C6"/>
    <w:rsid w:val="006768BD"/>
    <w:rsid w:val="00676914"/>
    <w:rsid w:val="0067730D"/>
    <w:rsid w:val="00680D20"/>
    <w:rsid w:val="00681519"/>
    <w:rsid w:val="00682A25"/>
    <w:rsid w:val="00686287"/>
    <w:rsid w:val="00690054"/>
    <w:rsid w:val="0069399F"/>
    <w:rsid w:val="0069412C"/>
    <w:rsid w:val="006948C4"/>
    <w:rsid w:val="006953D7"/>
    <w:rsid w:val="006A40DD"/>
    <w:rsid w:val="006A4B4B"/>
    <w:rsid w:val="006A74C2"/>
    <w:rsid w:val="006B02EF"/>
    <w:rsid w:val="006B1C74"/>
    <w:rsid w:val="006B1EC7"/>
    <w:rsid w:val="006B2359"/>
    <w:rsid w:val="006B39FF"/>
    <w:rsid w:val="006B3AF4"/>
    <w:rsid w:val="006B4C24"/>
    <w:rsid w:val="006B7098"/>
    <w:rsid w:val="006C124A"/>
    <w:rsid w:val="006C3722"/>
    <w:rsid w:val="006C39DC"/>
    <w:rsid w:val="006C5581"/>
    <w:rsid w:val="006C6268"/>
    <w:rsid w:val="006C70D4"/>
    <w:rsid w:val="006D2120"/>
    <w:rsid w:val="006D4FF3"/>
    <w:rsid w:val="006D5635"/>
    <w:rsid w:val="006E1808"/>
    <w:rsid w:val="006E2DF3"/>
    <w:rsid w:val="006F0D58"/>
    <w:rsid w:val="006F5104"/>
    <w:rsid w:val="006F616B"/>
    <w:rsid w:val="006F7B03"/>
    <w:rsid w:val="006F7EDB"/>
    <w:rsid w:val="00701372"/>
    <w:rsid w:val="00701F58"/>
    <w:rsid w:val="00702B21"/>
    <w:rsid w:val="00704D0C"/>
    <w:rsid w:val="00705391"/>
    <w:rsid w:val="00706182"/>
    <w:rsid w:val="0071198B"/>
    <w:rsid w:val="00713ED9"/>
    <w:rsid w:val="00714753"/>
    <w:rsid w:val="00714A36"/>
    <w:rsid w:val="00714FEF"/>
    <w:rsid w:val="00716452"/>
    <w:rsid w:val="0071662C"/>
    <w:rsid w:val="00720901"/>
    <w:rsid w:val="00722395"/>
    <w:rsid w:val="00722599"/>
    <w:rsid w:val="007232FA"/>
    <w:rsid w:val="007236CB"/>
    <w:rsid w:val="00723D8E"/>
    <w:rsid w:val="007251DB"/>
    <w:rsid w:val="00725F16"/>
    <w:rsid w:val="0072674D"/>
    <w:rsid w:val="0072700A"/>
    <w:rsid w:val="007272DF"/>
    <w:rsid w:val="00730DE5"/>
    <w:rsid w:val="00733D24"/>
    <w:rsid w:val="00734CB7"/>
    <w:rsid w:val="00742046"/>
    <w:rsid w:val="0074339B"/>
    <w:rsid w:val="007435D7"/>
    <w:rsid w:val="00744210"/>
    <w:rsid w:val="00745773"/>
    <w:rsid w:val="007458E1"/>
    <w:rsid w:val="007473AC"/>
    <w:rsid w:val="00747693"/>
    <w:rsid w:val="007500C6"/>
    <w:rsid w:val="007521EB"/>
    <w:rsid w:val="007522EE"/>
    <w:rsid w:val="00752813"/>
    <w:rsid w:val="007546C7"/>
    <w:rsid w:val="00755C3C"/>
    <w:rsid w:val="00762394"/>
    <w:rsid w:val="00763549"/>
    <w:rsid w:val="00763D8B"/>
    <w:rsid w:val="00772B1D"/>
    <w:rsid w:val="00774D07"/>
    <w:rsid w:val="00775A5C"/>
    <w:rsid w:val="0077727B"/>
    <w:rsid w:val="00780FAD"/>
    <w:rsid w:val="007814AB"/>
    <w:rsid w:val="00783AC5"/>
    <w:rsid w:val="0078703E"/>
    <w:rsid w:val="007908FF"/>
    <w:rsid w:val="00794AAB"/>
    <w:rsid w:val="007959F1"/>
    <w:rsid w:val="00795F93"/>
    <w:rsid w:val="007A0168"/>
    <w:rsid w:val="007A0310"/>
    <w:rsid w:val="007A600E"/>
    <w:rsid w:val="007B0105"/>
    <w:rsid w:val="007B0832"/>
    <w:rsid w:val="007B366F"/>
    <w:rsid w:val="007C04E8"/>
    <w:rsid w:val="007C0CE5"/>
    <w:rsid w:val="007C1D69"/>
    <w:rsid w:val="007D08F6"/>
    <w:rsid w:val="007D0C6F"/>
    <w:rsid w:val="007D362E"/>
    <w:rsid w:val="007E4157"/>
    <w:rsid w:val="007E5242"/>
    <w:rsid w:val="007E5A94"/>
    <w:rsid w:val="007E692F"/>
    <w:rsid w:val="007F0691"/>
    <w:rsid w:val="007F3150"/>
    <w:rsid w:val="007F5E5D"/>
    <w:rsid w:val="007F6B8E"/>
    <w:rsid w:val="00804CC6"/>
    <w:rsid w:val="00807623"/>
    <w:rsid w:val="008077FC"/>
    <w:rsid w:val="00807F3A"/>
    <w:rsid w:val="00810CFD"/>
    <w:rsid w:val="00813114"/>
    <w:rsid w:val="00813F11"/>
    <w:rsid w:val="00815A7C"/>
    <w:rsid w:val="008170DC"/>
    <w:rsid w:val="0082090E"/>
    <w:rsid w:val="00821F30"/>
    <w:rsid w:val="008225A1"/>
    <w:rsid w:val="008230F6"/>
    <w:rsid w:val="00825C22"/>
    <w:rsid w:val="00830860"/>
    <w:rsid w:val="008314C4"/>
    <w:rsid w:val="00831A2E"/>
    <w:rsid w:val="00832ABC"/>
    <w:rsid w:val="00833C81"/>
    <w:rsid w:val="00835D32"/>
    <w:rsid w:val="00836425"/>
    <w:rsid w:val="00836822"/>
    <w:rsid w:val="00840132"/>
    <w:rsid w:val="00852345"/>
    <w:rsid w:val="0085497D"/>
    <w:rsid w:val="008601FC"/>
    <w:rsid w:val="00862119"/>
    <w:rsid w:val="00863102"/>
    <w:rsid w:val="00864999"/>
    <w:rsid w:val="00866E17"/>
    <w:rsid w:val="00866E8E"/>
    <w:rsid w:val="008670BC"/>
    <w:rsid w:val="0087174D"/>
    <w:rsid w:val="008729F4"/>
    <w:rsid w:val="00873735"/>
    <w:rsid w:val="00873CD3"/>
    <w:rsid w:val="008754E2"/>
    <w:rsid w:val="00876424"/>
    <w:rsid w:val="00876C92"/>
    <w:rsid w:val="0088018F"/>
    <w:rsid w:val="008820E6"/>
    <w:rsid w:val="00882278"/>
    <w:rsid w:val="0088396C"/>
    <w:rsid w:val="00883F14"/>
    <w:rsid w:val="008853EA"/>
    <w:rsid w:val="0088681E"/>
    <w:rsid w:val="00890283"/>
    <w:rsid w:val="008914B3"/>
    <w:rsid w:val="00893058"/>
    <w:rsid w:val="00893F4A"/>
    <w:rsid w:val="0089586F"/>
    <w:rsid w:val="008978C4"/>
    <w:rsid w:val="008A2F67"/>
    <w:rsid w:val="008A3D82"/>
    <w:rsid w:val="008A4267"/>
    <w:rsid w:val="008A46F3"/>
    <w:rsid w:val="008A4709"/>
    <w:rsid w:val="008A484D"/>
    <w:rsid w:val="008A491B"/>
    <w:rsid w:val="008A4B7B"/>
    <w:rsid w:val="008B19BF"/>
    <w:rsid w:val="008B19E9"/>
    <w:rsid w:val="008B1A7E"/>
    <w:rsid w:val="008B2636"/>
    <w:rsid w:val="008B2F79"/>
    <w:rsid w:val="008B6C31"/>
    <w:rsid w:val="008C230A"/>
    <w:rsid w:val="008C3DDA"/>
    <w:rsid w:val="008C4669"/>
    <w:rsid w:val="008D0A6D"/>
    <w:rsid w:val="008D4403"/>
    <w:rsid w:val="008D452C"/>
    <w:rsid w:val="008D7A3B"/>
    <w:rsid w:val="008E19B3"/>
    <w:rsid w:val="008E679F"/>
    <w:rsid w:val="008E6A7C"/>
    <w:rsid w:val="008E7E58"/>
    <w:rsid w:val="008F1C61"/>
    <w:rsid w:val="008F27E3"/>
    <w:rsid w:val="008F31F6"/>
    <w:rsid w:val="008F4DB1"/>
    <w:rsid w:val="008F5346"/>
    <w:rsid w:val="008F60B4"/>
    <w:rsid w:val="008F616C"/>
    <w:rsid w:val="00902D23"/>
    <w:rsid w:val="00903199"/>
    <w:rsid w:val="009048D9"/>
    <w:rsid w:val="00905D49"/>
    <w:rsid w:val="009062FF"/>
    <w:rsid w:val="009068F8"/>
    <w:rsid w:val="009100BD"/>
    <w:rsid w:val="0091440B"/>
    <w:rsid w:val="009146E0"/>
    <w:rsid w:val="00915E9E"/>
    <w:rsid w:val="00917875"/>
    <w:rsid w:val="00917C10"/>
    <w:rsid w:val="00917D7D"/>
    <w:rsid w:val="00921077"/>
    <w:rsid w:val="00923D2F"/>
    <w:rsid w:val="0092563B"/>
    <w:rsid w:val="00925AB6"/>
    <w:rsid w:val="00926475"/>
    <w:rsid w:val="00926993"/>
    <w:rsid w:val="00930EC5"/>
    <w:rsid w:val="009335F8"/>
    <w:rsid w:val="00934148"/>
    <w:rsid w:val="009355F5"/>
    <w:rsid w:val="0093670B"/>
    <w:rsid w:val="00937D3C"/>
    <w:rsid w:val="00940ADC"/>
    <w:rsid w:val="00942FD7"/>
    <w:rsid w:val="009457FC"/>
    <w:rsid w:val="009466AA"/>
    <w:rsid w:val="00947523"/>
    <w:rsid w:val="00950116"/>
    <w:rsid w:val="009507E6"/>
    <w:rsid w:val="009556B0"/>
    <w:rsid w:val="00960B47"/>
    <w:rsid w:val="00960EB8"/>
    <w:rsid w:val="0096178B"/>
    <w:rsid w:val="009719BB"/>
    <w:rsid w:val="009733E8"/>
    <w:rsid w:val="00980F54"/>
    <w:rsid w:val="00982E25"/>
    <w:rsid w:val="00986FF7"/>
    <w:rsid w:val="00990EB8"/>
    <w:rsid w:val="009921CD"/>
    <w:rsid w:val="009927BE"/>
    <w:rsid w:val="00997AEB"/>
    <w:rsid w:val="009A389A"/>
    <w:rsid w:val="009A6CCA"/>
    <w:rsid w:val="009A77F8"/>
    <w:rsid w:val="009B0BFD"/>
    <w:rsid w:val="009B1018"/>
    <w:rsid w:val="009B2E01"/>
    <w:rsid w:val="009B3B92"/>
    <w:rsid w:val="009B4844"/>
    <w:rsid w:val="009B4947"/>
    <w:rsid w:val="009B6798"/>
    <w:rsid w:val="009B7E08"/>
    <w:rsid w:val="009C0E4A"/>
    <w:rsid w:val="009C3212"/>
    <w:rsid w:val="009C3261"/>
    <w:rsid w:val="009C3978"/>
    <w:rsid w:val="009C3FFB"/>
    <w:rsid w:val="009C4747"/>
    <w:rsid w:val="009C527E"/>
    <w:rsid w:val="009C5764"/>
    <w:rsid w:val="009C6158"/>
    <w:rsid w:val="009D02C9"/>
    <w:rsid w:val="009D11AA"/>
    <w:rsid w:val="009D76B1"/>
    <w:rsid w:val="009E09F8"/>
    <w:rsid w:val="009E3964"/>
    <w:rsid w:val="009E57E8"/>
    <w:rsid w:val="009E5C95"/>
    <w:rsid w:val="009E68EA"/>
    <w:rsid w:val="009E6B7C"/>
    <w:rsid w:val="009F09A3"/>
    <w:rsid w:val="009F0F05"/>
    <w:rsid w:val="009F10B5"/>
    <w:rsid w:val="009F139B"/>
    <w:rsid w:val="009F149D"/>
    <w:rsid w:val="009F27B1"/>
    <w:rsid w:val="009F387D"/>
    <w:rsid w:val="009F465E"/>
    <w:rsid w:val="009F64A0"/>
    <w:rsid w:val="00A00296"/>
    <w:rsid w:val="00A00A64"/>
    <w:rsid w:val="00A00EEE"/>
    <w:rsid w:val="00A01C66"/>
    <w:rsid w:val="00A01F46"/>
    <w:rsid w:val="00A0371B"/>
    <w:rsid w:val="00A04845"/>
    <w:rsid w:val="00A0670A"/>
    <w:rsid w:val="00A06B39"/>
    <w:rsid w:val="00A1701C"/>
    <w:rsid w:val="00A174DB"/>
    <w:rsid w:val="00A17868"/>
    <w:rsid w:val="00A17B60"/>
    <w:rsid w:val="00A22B20"/>
    <w:rsid w:val="00A2326D"/>
    <w:rsid w:val="00A23BB0"/>
    <w:rsid w:val="00A24DF1"/>
    <w:rsid w:val="00A27B25"/>
    <w:rsid w:val="00A306B9"/>
    <w:rsid w:val="00A30F59"/>
    <w:rsid w:val="00A332B8"/>
    <w:rsid w:val="00A33553"/>
    <w:rsid w:val="00A3520C"/>
    <w:rsid w:val="00A357CA"/>
    <w:rsid w:val="00A4099A"/>
    <w:rsid w:val="00A415BE"/>
    <w:rsid w:val="00A41668"/>
    <w:rsid w:val="00A4410F"/>
    <w:rsid w:val="00A44E4D"/>
    <w:rsid w:val="00A510AC"/>
    <w:rsid w:val="00A51D52"/>
    <w:rsid w:val="00A575C7"/>
    <w:rsid w:val="00A60AE1"/>
    <w:rsid w:val="00A6265E"/>
    <w:rsid w:val="00A64B31"/>
    <w:rsid w:val="00A64C91"/>
    <w:rsid w:val="00A65A09"/>
    <w:rsid w:val="00A72C6F"/>
    <w:rsid w:val="00A75BCE"/>
    <w:rsid w:val="00A76294"/>
    <w:rsid w:val="00A77497"/>
    <w:rsid w:val="00A827CF"/>
    <w:rsid w:val="00A83003"/>
    <w:rsid w:val="00A84245"/>
    <w:rsid w:val="00A850A4"/>
    <w:rsid w:val="00A85926"/>
    <w:rsid w:val="00A85AFC"/>
    <w:rsid w:val="00A92A24"/>
    <w:rsid w:val="00A94B4F"/>
    <w:rsid w:val="00A96CC6"/>
    <w:rsid w:val="00A97C1D"/>
    <w:rsid w:val="00AA03CC"/>
    <w:rsid w:val="00AA104E"/>
    <w:rsid w:val="00AA2CC8"/>
    <w:rsid w:val="00AA3E61"/>
    <w:rsid w:val="00AA63D3"/>
    <w:rsid w:val="00AA7858"/>
    <w:rsid w:val="00AB11F8"/>
    <w:rsid w:val="00AB46FC"/>
    <w:rsid w:val="00AB7F87"/>
    <w:rsid w:val="00AC1C7A"/>
    <w:rsid w:val="00AC371C"/>
    <w:rsid w:val="00AC38F8"/>
    <w:rsid w:val="00AC44D0"/>
    <w:rsid w:val="00AC4638"/>
    <w:rsid w:val="00AC496D"/>
    <w:rsid w:val="00AC6EBA"/>
    <w:rsid w:val="00AD010D"/>
    <w:rsid w:val="00AD0725"/>
    <w:rsid w:val="00AD0844"/>
    <w:rsid w:val="00AD495C"/>
    <w:rsid w:val="00AD5B8C"/>
    <w:rsid w:val="00AD6650"/>
    <w:rsid w:val="00AD7F5F"/>
    <w:rsid w:val="00AD7FF0"/>
    <w:rsid w:val="00AE0D6A"/>
    <w:rsid w:val="00AE289E"/>
    <w:rsid w:val="00AE4B75"/>
    <w:rsid w:val="00AE54CD"/>
    <w:rsid w:val="00AE6E67"/>
    <w:rsid w:val="00AE7F0A"/>
    <w:rsid w:val="00AF1F94"/>
    <w:rsid w:val="00AF3E2A"/>
    <w:rsid w:val="00AF4222"/>
    <w:rsid w:val="00B044FC"/>
    <w:rsid w:val="00B0520B"/>
    <w:rsid w:val="00B058A5"/>
    <w:rsid w:val="00B06AE5"/>
    <w:rsid w:val="00B10A05"/>
    <w:rsid w:val="00B12964"/>
    <w:rsid w:val="00B13A61"/>
    <w:rsid w:val="00B140CF"/>
    <w:rsid w:val="00B15666"/>
    <w:rsid w:val="00B173EF"/>
    <w:rsid w:val="00B2077F"/>
    <w:rsid w:val="00B20D38"/>
    <w:rsid w:val="00B21280"/>
    <w:rsid w:val="00B22066"/>
    <w:rsid w:val="00B22952"/>
    <w:rsid w:val="00B22E69"/>
    <w:rsid w:val="00B2321D"/>
    <w:rsid w:val="00B23527"/>
    <w:rsid w:val="00B26309"/>
    <w:rsid w:val="00B279A0"/>
    <w:rsid w:val="00B27E33"/>
    <w:rsid w:val="00B322A5"/>
    <w:rsid w:val="00B33708"/>
    <w:rsid w:val="00B355E1"/>
    <w:rsid w:val="00B42267"/>
    <w:rsid w:val="00B42E00"/>
    <w:rsid w:val="00B42EA9"/>
    <w:rsid w:val="00B42FE3"/>
    <w:rsid w:val="00B437A6"/>
    <w:rsid w:val="00B44DEF"/>
    <w:rsid w:val="00B476A5"/>
    <w:rsid w:val="00B478FF"/>
    <w:rsid w:val="00B47CAE"/>
    <w:rsid w:val="00B5020D"/>
    <w:rsid w:val="00B504E6"/>
    <w:rsid w:val="00B51A71"/>
    <w:rsid w:val="00B52E76"/>
    <w:rsid w:val="00B53A27"/>
    <w:rsid w:val="00B541EE"/>
    <w:rsid w:val="00B55747"/>
    <w:rsid w:val="00B57001"/>
    <w:rsid w:val="00B5742D"/>
    <w:rsid w:val="00B60676"/>
    <w:rsid w:val="00B6134C"/>
    <w:rsid w:val="00B619C7"/>
    <w:rsid w:val="00B634DC"/>
    <w:rsid w:val="00B63719"/>
    <w:rsid w:val="00B64531"/>
    <w:rsid w:val="00B71543"/>
    <w:rsid w:val="00B7238E"/>
    <w:rsid w:val="00B72A3E"/>
    <w:rsid w:val="00B74E80"/>
    <w:rsid w:val="00B7531F"/>
    <w:rsid w:val="00B7683E"/>
    <w:rsid w:val="00B777E7"/>
    <w:rsid w:val="00B77EBF"/>
    <w:rsid w:val="00B83E93"/>
    <w:rsid w:val="00B84DE4"/>
    <w:rsid w:val="00B85AF8"/>
    <w:rsid w:val="00B85BDC"/>
    <w:rsid w:val="00B867C7"/>
    <w:rsid w:val="00B87C6C"/>
    <w:rsid w:val="00B90C29"/>
    <w:rsid w:val="00B92C25"/>
    <w:rsid w:val="00B95B43"/>
    <w:rsid w:val="00BA062A"/>
    <w:rsid w:val="00BA3C12"/>
    <w:rsid w:val="00BA4803"/>
    <w:rsid w:val="00BA5116"/>
    <w:rsid w:val="00BA758B"/>
    <w:rsid w:val="00BB02EF"/>
    <w:rsid w:val="00BB11A7"/>
    <w:rsid w:val="00BB1315"/>
    <w:rsid w:val="00BB1F77"/>
    <w:rsid w:val="00BB2746"/>
    <w:rsid w:val="00BB49A2"/>
    <w:rsid w:val="00BB49DE"/>
    <w:rsid w:val="00BB58CA"/>
    <w:rsid w:val="00BB6294"/>
    <w:rsid w:val="00BB6DAE"/>
    <w:rsid w:val="00BB7437"/>
    <w:rsid w:val="00BC499C"/>
    <w:rsid w:val="00BC4FEA"/>
    <w:rsid w:val="00BC71AB"/>
    <w:rsid w:val="00BD10DD"/>
    <w:rsid w:val="00BD132F"/>
    <w:rsid w:val="00BD19FE"/>
    <w:rsid w:val="00BD326F"/>
    <w:rsid w:val="00BD44B3"/>
    <w:rsid w:val="00BE31B9"/>
    <w:rsid w:val="00BE56A8"/>
    <w:rsid w:val="00BE65F7"/>
    <w:rsid w:val="00BE69F6"/>
    <w:rsid w:val="00BF0577"/>
    <w:rsid w:val="00BF342A"/>
    <w:rsid w:val="00BF36D9"/>
    <w:rsid w:val="00BF6737"/>
    <w:rsid w:val="00C0195C"/>
    <w:rsid w:val="00C028D8"/>
    <w:rsid w:val="00C04A46"/>
    <w:rsid w:val="00C052F7"/>
    <w:rsid w:val="00C05C47"/>
    <w:rsid w:val="00C06DCB"/>
    <w:rsid w:val="00C070AB"/>
    <w:rsid w:val="00C107DE"/>
    <w:rsid w:val="00C1357A"/>
    <w:rsid w:val="00C138E2"/>
    <w:rsid w:val="00C16902"/>
    <w:rsid w:val="00C16BF2"/>
    <w:rsid w:val="00C17A6F"/>
    <w:rsid w:val="00C17BE8"/>
    <w:rsid w:val="00C17BFA"/>
    <w:rsid w:val="00C2021D"/>
    <w:rsid w:val="00C22835"/>
    <w:rsid w:val="00C3531D"/>
    <w:rsid w:val="00C355CB"/>
    <w:rsid w:val="00C41B1A"/>
    <w:rsid w:val="00C4317E"/>
    <w:rsid w:val="00C4501F"/>
    <w:rsid w:val="00C476D1"/>
    <w:rsid w:val="00C507FE"/>
    <w:rsid w:val="00C513AD"/>
    <w:rsid w:val="00C568C5"/>
    <w:rsid w:val="00C608DC"/>
    <w:rsid w:val="00C6384F"/>
    <w:rsid w:val="00C64689"/>
    <w:rsid w:val="00C64753"/>
    <w:rsid w:val="00C64DAA"/>
    <w:rsid w:val="00C67E8D"/>
    <w:rsid w:val="00C7401C"/>
    <w:rsid w:val="00C74340"/>
    <w:rsid w:val="00C80578"/>
    <w:rsid w:val="00C811A4"/>
    <w:rsid w:val="00C828F2"/>
    <w:rsid w:val="00C8406E"/>
    <w:rsid w:val="00C84311"/>
    <w:rsid w:val="00C84DB4"/>
    <w:rsid w:val="00C85662"/>
    <w:rsid w:val="00C85B9E"/>
    <w:rsid w:val="00C85D8E"/>
    <w:rsid w:val="00C85F84"/>
    <w:rsid w:val="00C8728D"/>
    <w:rsid w:val="00C90E7E"/>
    <w:rsid w:val="00C9183C"/>
    <w:rsid w:val="00C9359C"/>
    <w:rsid w:val="00C940D2"/>
    <w:rsid w:val="00C94D25"/>
    <w:rsid w:val="00C954B9"/>
    <w:rsid w:val="00C95B41"/>
    <w:rsid w:val="00C95E09"/>
    <w:rsid w:val="00CA1086"/>
    <w:rsid w:val="00CA1990"/>
    <w:rsid w:val="00CA1994"/>
    <w:rsid w:val="00CA3055"/>
    <w:rsid w:val="00CA31E3"/>
    <w:rsid w:val="00CA7A06"/>
    <w:rsid w:val="00CA7B05"/>
    <w:rsid w:val="00CA7D09"/>
    <w:rsid w:val="00CB0379"/>
    <w:rsid w:val="00CB1117"/>
    <w:rsid w:val="00CB44C6"/>
    <w:rsid w:val="00CB468E"/>
    <w:rsid w:val="00CB5031"/>
    <w:rsid w:val="00CB5574"/>
    <w:rsid w:val="00CB5790"/>
    <w:rsid w:val="00CB7DC3"/>
    <w:rsid w:val="00CC00AC"/>
    <w:rsid w:val="00CC0820"/>
    <w:rsid w:val="00CC1106"/>
    <w:rsid w:val="00CC1A0B"/>
    <w:rsid w:val="00CC2AD9"/>
    <w:rsid w:val="00CC3407"/>
    <w:rsid w:val="00CC39E0"/>
    <w:rsid w:val="00CC474B"/>
    <w:rsid w:val="00CD1063"/>
    <w:rsid w:val="00CD1D20"/>
    <w:rsid w:val="00CD285B"/>
    <w:rsid w:val="00CD2BDA"/>
    <w:rsid w:val="00CD2EF3"/>
    <w:rsid w:val="00CD3647"/>
    <w:rsid w:val="00CD3ED3"/>
    <w:rsid w:val="00CD6D05"/>
    <w:rsid w:val="00CD71D1"/>
    <w:rsid w:val="00CE0763"/>
    <w:rsid w:val="00CE0D12"/>
    <w:rsid w:val="00CE216B"/>
    <w:rsid w:val="00CE5174"/>
    <w:rsid w:val="00CF04F7"/>
    <w:rsid w:val="00CF1138"/>
    <w:rsid w:val="00CF1FB8"/>
    <w:rsid w:val="00CF2EA8"/>
    <w:rsid w:val="00CF428F"/>
    <w:rsid w:val="00CF7974"/>
    <w:rsid w:val="00CF7AAD"/>
    <w:rsid w:val="00CF7AD5"/>
    <w:rsid w:val="00D018B3"/>
    <w:rsid w:val="00D02254"/>
    <w:rsid w:val="00D024FA"/>
    <w:rsid w:val="00D04D94"/>
    <w:rsid w:val="00D06EE2"/>
    <w:rsid w:val="00D076A2"/>
    <w:rsid w:val="00D10D8A"/>
    <w:rsid w:val="00D1371B"/>
    <w:rsid w:val="00D14CE4"/>
    <w:rsid w:val="00D14DDF"/>
    <w:rsid w:val="00D16B7A"/>
    <w:rsid w:val="00D17CE4"/>
    <w:rsid w:val="00D20E3E"/>
    <w:rsid w:val="00D2412C"/>
    <w:rsid w:val="00D310B5"/>
    <w:rsid w:val="00D33286"/>
    <w:rsid w:val="00D338F2"/>
    <w:rsid w:val="00D370F0"/>
    <w:rsid w:val="00D41313"/>
    <w:rsid w:val="00D425B6"/>
    <w:rsid w:val="00D43FC4"/>
    <w:rsid w:val="00D4458A"/>
    <w:rsid w:val="00D453CB"/>
    <w:rsid w:val="00D5494E"/>
    <w:rsid w:val="00D62831"/>
    <w:rsid w:val="00D6473F"/>
    <w:rsid w:val="00D648FC"/>
    <w:rsid w:val="00D64A78"/>
    <w:rsid w:val="00D66576"/>
    <w:rsid w:val="00D67A3A"/>
    <w:rsid w:val="00D745AD"/>
    <w:rsid w:val="00D74A2F"/>
    <w:rsid w:val="00D75203"/>
    <w:rsid w:val="00D759C9"/>
    <w:rsid w:val="00D75C72"/>
    <w:rsid w:val="00D77045"/>
    <w:rsid w:val="00D831DB"/>
    <w:rsid w:val="00D83F30"/>
    <w:rsid w:val="00D84E1E"/>
    <w:rsid w:val="00D86854"/>
    <w:rsid w:val="00D87F25"/>
    <w:rsid w:val="00D93888"/>
    <w:rsid w:val="00D94E92"/>
    <w:rsid w:val="00D952AA"/>
    <w:rsid w:val="00D95341"/>
    <w:rsid w:val="00D95691"/>
    <w:rsid w:val="00DA00B7"/>
    <w:rsid w:val="00DA2D7F"/>
    <w:rsid w:val="00DA5ACD"/>
    <w:rsid w:val="00DA5C11"/>
    <w:rsid w:val="00DA6486"/>
    <w:rsid w:val="00DB0A27"/>
    <w:rsid w:val="00DB69DA"/>
    <w:rsid w:val="00DC0F9A"/>
    <w:rsid w:val="00DC23B4"/>
    <w:rsid w:val="00DC4307"/>
    <w:rsid w:val="00DC4C88"/>
    <w:rsid w:val="00DC50C8"/>
    <w:rsid w:val="00DC65B3"/>
    <w:rsid w:val="00DC74CD"/>
    <w:rsid w:val="00DD1DA6"/>
    <w:rsid w:val="00DD2F0B"/>
    <w:rsid w:val="00DD5FE1"/>
    <w:rsid w:val="00DD64EA"/>
    <w:rsid w:val="00DD79E7"/>
    <w:rsid w:val="00DE0106"/>
    <w:rsid w:val="00DE044A"/>
    <w:rsid w:val="00DE12D1"/>
    <w:rsid w:val="00DE13E1"/>
    <w:rsid w:val="00DE2C79"/>
    <w:rsid w:val="00DF0363"/>
    <w:rsid w:val="00DF1B33"/>
    <w:rsid w:val="00DF247E"/>
    <w:rsid w:val="00DF4873"/>
    <w:rsid w:val="00DF547B"/>
    <w:rsid w:val="00DF5A68"/>
    <w:rsid w:val="00DF6C4B"/>
    <w:rsid w:val="00E01091"/>
    <w:rsid w:val="00E0147C"/>
    <w:rsid w:val="00E034C4"/>
    <w:rsid w:val="00E0644B"/>
    <w:rsid w:val="00E068EF"/>
    <w:rsid w:val="00E07E06"/>
    <w:rsid w:val="00E115EB"/>
    <w:rsid w:val="00E12132"/>
    <w:rsid w:val="00E12578"/>
    <w:rsid w:val="00E1310F"/>
    <w:rsid w:val="00E13579"/>
    <w:rsid w:val="00E14A0F"/>
    <w:rsid w:val="00E15255"/>
    <w:rsid w:val="00E156C5"/>
    <w:rsid w:val="00E169CB"/>
    <w:rsid w:val="00E172E4"/>
    <w:rsid w:val="00E17EA4"/>
    <w:rsid w:val="00E2026B"/>
    <w:rsid w:val="00E203F9"/>
    <w:rsid w:val="00E20EFD"/>
    <w:rsid w:val="00E25E9F"/>
    <w:rsid w:val="00E26A10"/>
    <w:rsid w:val="00E26F33"/>
    <w:rsid w:val="00E30B6A"/>
    <w:rsid w:val="00E31777"/>
    <w:rsid w:val="00E3314B"/>
    <w:rsid w:val="00E372E0"/>
    <w:rsid w:val="00E40858"/>
    <w:rsid w:val="00E40A63"/>
    <w:rsid w:val="00E40FDB"/>
    <w:rsid w:val="00E41BFC"/>
    <w:rsid w:val="00E4228E"/>
    <w:rsid w:val="00E434FA"/>
    <w:rsid w:val="00E44219"/>
    <w:rsid w:val="00E456F3"/>
    <w:rsid w:val="00E5129E"/>
    <w:rsid w:val="00E5319F"/>
    <w:rsid w:val="00E56949"/>
    <w:rsid w:val="00E60251"/>
    <w:rsid w:val="00E614D1"/>
    <w:rsid w:val="00E639DC"/>
    <w:rsid w:val="00E71052"/>
    <w:rsid w:val="00E72345"/>
    <w:rsid w:val="00E72413"/>
    <w:rsid w:val="00E72A88"/>
    <w:rsid w:val="00E72D3A"/>
    <w:rsid w:val="00E75171"/>
    <w:rsid w:val="00E823DE"/>
    <w:rsid w:val="00E82770"/>
    <w:rsid w:val="00E83A8C"/>
    <w:rsid w:val="00E8428B"/>
    <w:rsid w:val="00E84D9E"/>
    <w:rsid w:val="00E856D6"/>
    <w:rsid w:val="00E9002F"/>
    <w:rsid w:val="00E90189"/>
    <w:rsid w:val="00E9093C"/>
    <w:rsid w:val="00E91099"/>
    <w:rsid w:val="00E91BBD"/>
    <w:rsid w:val="00E93D13"/>
    <w:rsid w:val="00EA5351"/>
    <w:rsid w:val="00EA61DA"/>
    <w:rsid w:val="00EB24D4"/>
    <w:rsid w:val="00EB3747"/>
    <w:rsid w:val="00EB4CA7"/>
    <w:rsid w:val="00EB4F0C"/>
    <w:rsid w:val="00EB59A7"/>
    <w:rsid w:val="00EB59E5"/>
    <w:rsid w:val="00EB6046"/>
    <w:rsid w:val="00EB6721"/>
    <w:rsid w:val="00EC067A"/>
    <w:rsid w:val="00EC171A"/>
    <w:rsid w:val="00EC30DE"/>
    <w:rsid w:val="00EC5463"/>
    <w:rsid w:val="00EC5A92"/>
    <w:rsid w:val="00EC6DC5"/>
    <w:rsid w:val="00EC7750"/>
    <w:rsid w:val="00ED0979"/>
    <w:rsid w:val="00ED0CAE"/>
    <w:rsid w:val="00ED5C2E"/>
    <w:rsid w:val="00ED5CB3"/>
    <w:rsid w:val="00ED715A"/>
    <w:rsid w:val="00EE08A5"/>
    <w:rsid w:val="00EE095A"/>
    <w:rsid w:val="00EE1706"/>
    <w:rsid w:val="00EE1D8D"/>
    <w:rsid w:val="00EE35C2"/>
    <w:rsid w:val="00EE5C4A"/>
    <w:rsid w:val="00EE75E7"/>
    <w:rsid w:val="00EE7687"/>
    <w:rsid w:val="00EF0FC7"/>
    <w:rsid w:val="00EF134C"/>
    <w:rsid w:val="00EF17B5"/>
    <w:rsid w:val="00EF2A32"/>
    <w:rsid w:val="00EF3000"/>
    <w:rsid w:val="00EF504E"/>
    <w:rsid w:val="00EF765F"/>
    <w:rsid w:val="00EF7F35"/>
    <w:rsid w:val="00F001C2"/>
    <w:rsid w:val="00F01FE5"/>
    <w:rsid w:val="00F02B6E"/>
    <w:rsid w:val="00F036EA"/>
    <w:rsid w:val="00F03B8D"/>
    <w:rsid w:val="00F112F2"/>
    <w:rsid w:val="00F11D62"/>
    <w:rsid w:val="00F12331"/>
    <w:rsid w:val="00F12E11"/>
    <w:rsid w:val="00F14EF2"/>
    <w:rsid w:val="00F1573A"/>
    <w:rsid w:val="00F16729"/>
    <w:rsid w:val="00F16EAF"/>
    <w:rsid w:val="00F2085E"/>
    <w:rsid w:val="00F20C78"/>
    <w:rsid w:val="00F21C75"/>
    <w:rsid w:val="00F2332A"/>
    <w:rsid w:val="00F25FC7"/>
    <w:rsid w:val="00F26FB1"/>
    <w:rsid w:val="00F3281F"/>
    <w:rsid w:val="00F35A30"/>
    <w:rsid w:val="00F35DC1"/>
    <w:rsid w:val="00F36054"/>
    <w:rsid w:val="00F3621E"/>
    <w:rsid w:val="00F36ABC"/>
    <w:rsid w:val="00F36CEF"/>
    <w:rsid w:val="00F3734D"/>
    <w:rsid w:val="00F4073E"/>
    <w:rsid w:val="00F4166E"/>
    <w:rsid w:val="00F43846"/>
    <w:rsid w:val="00F4429B"/>
    <w:rsid w:val="00F45E5D"/>
    <w:rsid w:val="00F469A8"/>
    <w:rsid w:val="00F47E96"/>
    <w:rsid w:val="00F53B69"/>
    <w:rsid w:val="00F57458"/>
    <w:rsid w:val="00F5787F"/>
    <w:rsid w:val="00F61D34"/>
    <w:rsid w:val="00F6282D"/>
    <w:rsid w:val="00F6396C"/>
    <w:rsid w:val="00F64C4F"/>
    <w:rsid w:val="00F70CD8"/>
    <w:rsid w:val="00F70DB5"/>
    <w:rsid w:val="00F734AA"/>
    <w:rsid w:val="00F73C5E"/>
    <w:rsid w:val="00F75053"/>
    <w:rsid w:val="00F762F1"/>
    <w:rsid w:val="00F8089A"/>
    <w:rsid w:val="00F82863"/>
    <w:rsid w:val="00F8479D"/>
    <w:rsid w:val="00F856C6"/>
    <w:rsid w:val="00F945C0"/>
    <w:rsid w:val="00F9533E"/>
    <w:rsid w:val="00F963A9"/>
    <w:rsid w:val="00F96D74"/>
    <w:rsid w:val="00FA048B"/>
    <w:rsid w:val="00FA06FB"/>
    <w:rsid w:val="00FA0911"/>
    <w:rsid w:val="00FA3CDD"/>
    <w:rsid w:val="00FA65C5"/>
    <w:rsid w:val="00FA6F5C"/>
    <w:rsid w:val="00FB1E6F"/>
    <w:rsid w:val="00FB2903"/>
    <w:rsid w:val="00FB439E"/>
    <w:rsid w:val="00FB4EA7"/>
    <w:rsid w:val="00FC1A09"/>
    <w:rsid w:val="00FC3AB8"/>
    <w:rsid w:val="00FC50C8"/>
    <w:rsid w:val="00FC566B"/>
    <w:rsid w:val="00FC65CD"/>
    <w:rsid w:val="00FD3837"/>
    <w:rsid w:val="00FD39B3"/>
    <w:rsid w:val="00FD5AB9"/>
    <w:rsid w:val="00FD7934"/>
    <w:rsid w:val="00FE01CC"/>
    <w:rsid w:val="00FE0585"/>
    <w:rsid w:val="00FE2257"/>
    <w:rsid w:val="00FE3F25"/>
    <w:rsid w:val="00FE4043"/>
    <w:rsid w:val="00FE4277"/>
    <w:rsid w:val="00FE57AC"/>
    <w:rsid w:val="00FE5A49"/>
    <w:rsid w:val="00FE5E90"/>
    <w:rsid w:val="00FF19B6"/>
    <w:rsid w:val="00FF37CA"/>
    <w:rsid w:val="00FF4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C1"/>
  </w:style>
  <w:style w:type="paragraph" w:styleId="Heading1">
    <w:name w:val="heading 1"/>
    <w:basedOn w:val="Normal"/>
    <w:next w:val="Normal"/>
    <w:link w:val="Heading1Char"/>
    <w:uiPriority w:val="9"/>
    <w:qFormat/>
    <w:rsid w:val="00F847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8479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BF6"/>
  </w:style>
  <w:style w:type="paragraph" w:styleId="Footer">
    <w:name w:val="footer"/>
    <w:basedOn w:val="Normal"/>
    <w:link w:val="FooterChar"/>
    <w:uiPriority w:val="99"/>
    <w:unhideWhenUsed/>
    <w:rsid w:val="003E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BF6"/>
  </w:style>
  <w:style w:type="paragraph" w:customStyle="1" w:styleId="Deloitte2">
    <w:name w:val="Deloitte 2"/>
    <w:basedOn w:val="Normal"/>
    <w:link w:val="Deloitte2Char"/>
    <w:qFormat/>
    <w:rsid w:val="00DC65B3"/>
    <w:pPr>
      <w:keepNext/>
      <w:spacing w:before="240" w:after="60" w:line="240" w:lineRule="auto"/>
      <w:outlineLvl w:val="1"/>
    </w:pPr>
    <w:rPr>
      <w:rFonts w:ascii="Arial" w:eastAsia="Times New Roman" w:hAnsi="Arial" w:cs="Arial"/>
      <w:b/>
      <w:bCs/>
      <w:iCs/>
      <w:color w:val="00A1DE"/>
      <w:sz w:val="24"/>
      <w:szCs w:val="28"/>
    </w:rPr>
  </w:style>
  <w:style w:type="character" w:customStyle="1" w:styleId="Deloitte2Char">
    <w:name w:val="Deloitte 2 Char"/>
    <w:basedOn w:val="DefaultParagraphFont"/>
    <w:link w:val="Deloitte2"/>
    <w:rsid w:val="00DC65B3"/>
    <w:rPr>
      <w:rFonts w:ascii="Arial" w:eastAsia="Times New Roman" w:hAnsi="Arial" w:cs="Arial"/>
      <w:b/>
      <w:bCs/>
      <w:iCs/>
      <w:color w:val="00A1DE"/>
      <w:sz w:val="24"/>
      <w:szCs w:val="28"/>
    </w:rPr>
  </w:style>
  <w:style w:type="paragraph" w:styleId="ListParagraph">
    <w:name w:val="List Paragraph"/>
    <w:aliases w:val="Resume Title"/>
    <w:basedOn w:val="Normal"/>
    <w:link w:val="ListParagraphChar"/>
    <w:uiPriority w:val="34"/>
    <w:qFormat/>
    <w:rsid w:val="00F36054"/>
    <w:pPr>
      <w:ind w:left="720"/>
      <w:contextualSpacing/>
    </w:pPr>
  </w:style>
  <w:style w:type="character" w:customStyle="1" w:styleId="ListParagraphChar">
    <w:name w:val="List Paragraph Char"/>
    <w:aliases w:val="Resume Title Char"/>
    <w:link w:val="ListParagraph"/>
    <w:uiPriority w:val="34"/>
    <w:rsid w:val="00EB59A7"/>
  </w:style>
  <w:style w:type="character" w:styleId="CommentReference">
    <w:name w:val="annotation reference"/>
    <w:basedOn w:val="DefaultParagraphFont"/>
    <w:uiPriority w:val="99"/>
    <w:semiHidden/>
    <w:unhideWhenUsed/>
    <w:rsid w:val="00EB59A7"/>
    <w:rPr>
      <w:sz w:val="16"/>
      <w:szCs w:val="16"/>
    </w:rPr>
  </w:style>
  <w:style w:type="paragraph" w:styleId="CommentText">
    <w:name w:val="annotation text"/>
    <w:basedOn w:val="Normal"/>
    <w:link w:val="CommentTextChar"/>
    <w:uiPriority w:val="99"/>
    <w:semiHidden/>
    <w:unhideWhenUsed/>
    <w:rsid w:val="00EB59A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B59A7"/>
    <w:rPr>
      <w:sz w:val="20"/>
      <w:szCs w:val="20"/>
    </w:rPr>
  </w:style>
  <w:style w:type="paragraph" w:styleId="BalloonText">
    <w:name w:val="Balloon Text"/>
    <w:basedOn w:val="Normal"/>
    <w:link w:val="BalloonTextChar"/>
    <w:uiPriority w:val="99"/>
    <w:semiHidden/>
    <w:unhideWhenUsed/>
    <w:rsid w:val="00EB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A7"/>
    <w:rPr>
      <w:rFonts w:ascii="Segoe UI" w:hAnsi="Segoe UI" w:cs="Segoe UI"/>
      <w:sz w:val="18"/>
      <w:szCs w:val="18"/>
    </w:rPr>
  </w:style>
  <w:style w:type="paragraph" w:styleId="BodyText">
    <w:name w:val="Body Text"/>
    <w:basedOn w:val="Normal"/>
    <w:link w:val="BodyTextChar"/>
    <w:uiPriority w:val="99"/>
    <w:unhideWhenUsed/>
    <w:qFormat/>
    <w:rsid w:val="00C2021D"/>
    <w:pPr>
      <w:spacing w:after="120" w:line="264" w:lineRule="auto"/>
    </w:pPr>
    <w:rPr>
      <w:rFonts w:ascii="Times New Roman" w:hAnsi="Times New Roman"/>
    </w:rPr>
  </w:style>
  <w:style w:type="character" w:customStyle="1" w:styleId="BodyTextChar">
    <w:name w:val="Body Text Char"/>
    <w:basedOn w:val="DefaultParagraphFont"/>
    <w:link w:val="BodyText"/>
    <w:uiPriority w:val="99"/>
    <w:rsid w:val="00C2021D"/>
    <w:rPr>
      <w:rFonts w:ascii="Times New Roman" w:hAnsi="Times New Roman"/>
    </w:rPr>
  </w:style>
  <w:style w:type="character" w:styleId="Hyperlink">
    <w:name w:val="Hyperlink"/>
    <w:basedOn w:val="DefaultParagraphFont"/>
    <w:uiPriority w:val="99"/>
    <w:unhideWhenUsed/>
    <w:rsid w:val="009719B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16902"/>
    <w:pPr>
      <w:spacing w:after="160"/>
    </w:pPr>
    <w:rPr>
      <w:b/>
      <w:bCs/>
    </w:rPr>
  </w:style>
  <w:style w:type="character" w:customStyle="1" w:styleId="CommentSubjectChar">
    <w:name w:val="Comment Subject Char"/>
    <w:basedOn w:val="CommentTextChar"/>
    <w:link w:val="CommentSubject"/>
    <w:uiPriority w:val="99"/>
    <w:semiHidden/>
    <w:rsid w:val="00C16902"/>
    <w:rPr>
      <w:b/>
      <w:bCs/>
      <w:sz w:val="20"/>
      <w:szCs w:val="20"/>
    </w:rPr>
  </w:style>
  <w:style w:type="character" w:customStyle="1" w:styleId="apple-converted-space">
    <w:name w:val="apple-converted-space"/>
    <w:basedOn w:val="DefaultParagraphFont"/>
    <w:rsid w:val="00950116"/>
  </w:style>
  <w:style w:type="paragraph" w:styleId="Revision">
    <w:name w:val="Revision"/>
    <w:hidden/>
    <w:uiPriority w:val="99"/>
    <w:semiHidden/>
    <w:rsid w:val="00813F11"/>
    <w:pPr>
      <w:spacing w:after="0" w:line="240" w:lineRule="auto"/>
    </w:pPr>
  </w:style>
  <w:style w:type="paragraph" w:styleId="FootnoteText">
    <w:name w:val="footnote text"/>
    <w:basedOn w:val="Normal"/>
    <w:link w:val="FootnoteTextChar"/>
    <w:uiPriority w:val="99"/>
    <w:unhideWhenUsed/>
    <w:rsid w:val="006015AA"/>
    <w:pPr>
      <w:spacing w:after="0" w:line="240" w:lineRule="auto"/>
    </w:pPr>
    <w:rPr>
      <w:sz w:val="20"/>
      <w:szCs w:val="20"/>
    </w:rPr>
  </w:style>
  <w:style w:type="character" w:customStyle="1" w:styleId="FootnoteTextChar">
    <w:name w:val="Footnote Text Char"/>
    <w:basedOn w:val="DefaultParagraphFont"/>
    <w:link w:val="FootnoteText"/>
    <w:uiPriority w:val="99"/>
    <w:rsid w:val="006015AA"/>
    <w:rPr>
      <w:sz w:val="20"/>
      <w:szCs w:val="20"/>
    </w:rPr>
  </w:style>
  <w:style w:type="character" w:styleId="FootnoteReference">
    <w:name w:val="footnote reference"/>
    <w:basedOn w:val="DefaultParagraphFont"/>
    <w:uiPriority w:val="99"/>
    <w:semiHidden/>
    <w:unhideWhenUsed/>
    <w:rsid w:val="006015AA"/>
    <w:rPr>
      <w:vertAlign w:val="superscript"/>
    </w:rPr>
  </w:style>
  <w:style w:type="paragraph" w:customStyle="1" w:styleId="Default">
    <w:name w:val="Default"/>
    <w:rsid w:val="006015A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5C72"/>
    <w:rPr>
      <w:color w:val="954F72" w:themeColor="followedHyperlink"/>
      <w:u w:val="single"/>
    </w:rPr>
  </w:style>
  <w:style w:type="table" w:styleId="TableGrid">
    <w:name w:val="Table Grid"/>
    <w:basedOn w:val="TableNormal"/>
    <w:uiPriority w:val="39"/>
    <w:rsid w:val="004B6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E3177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E3177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E3177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uiPriority w:val="49"/>
    <w:rsid w:val="00E3177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F8479D"/>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F8479D"/>
    <w:rPr>
      <w:rFonts w:asciiTheme="majorHAnsi" w:eastAsiaTheme="majorEastAsia" w:hAnsiTheme="majorHAnsi" w:cstheme="majorBidi"/>
      <w:b/>
      <w:bCs/>
      <w:color w:val="2E74B5" w:themeColor="accent1" w:themeShade="BF"/>
      <w:sz w:val="28"/>
      <w:szCs w:val="28"/>
    </w:rPr>
  </w:style>
  <w:style w:type="table" w:styleId="LightList-Accent5">
    <w:name w:val="Light List Accent 5"/>
    <w:basedOn w:val="TableNormal"/>
    <w:uiPriority w:val="61"/>
    <w:rsid w:val="00DB0A27"/>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TOCHeading">
    <w:name w:val="TOC Heading"/>
    <w:basedOn w:val="Heading1"/>
    <w:next w:val="Normal"/>
    <w:uiPriority w:val="39"/>
    <w:unhideWhenUsed/>
    <w:qFormat/>
    <w:rsid w:val="005520FF"/>
    <w:pPr>
      <w:spacing w:line="276" w:lineRule="auto"/>
      <w:outlineLvl w:val="9"/>
    </w:pPr>
    <w:rPr>
      <w:lang w:eastAsia="ja-JP"/>
    </w:rPr>
  </w:style>
  <w:style w:type="paragraph" w:styleId="TOC1">
    <w:name w:val="toc 1"/>
    <w:basedOn w:val="Normal"/>
    <w:next w:val="Normal"/>
    <w:autoRedefine/>
    <w:uiPriority w:val="39"/>
    <w:unhideWhenUsed/>
    <w:rsid w:val="005520FF"/>
    <w:pPr>
      <w:spacing w:after="100"/>
    </w:pPr>
  </w:style>
  <w:style w:type="paragraph" w:styleId="TOC2">
    <w:name w:val="toc 2"/>
    <w:basedOn w:val="Normal"/>
    <w:next w:val="Normal"/>
    <w:autoRedefine/>
    <w:uiPriority w:val="39"/>
    <w:unhideWhenUsed/>
    <w:rsid w:val="005520FF"/>
    <w:pPr>
      <w:spacing w:after="100"/>
      <w:ind w:left="220"/>
    </w:pPr>
  </w:style>
  <w:style w:type="paragraph" w:styleId="EndnoteText">
    <w:name w:val="endnote text"/>
    <w:basedOn w:val="Normal"/>
    <w:link w:val="EndnoteTextChar"/>
    <w:uiPriority w:val="99"/>
    <w:semiHidden/>
    <w:unhideWhenUsed/>
    <w:rsid w:val="000A6B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BEE"/>
    <w:rPr>
      <w:sz w:val="20"/>
      <w:szCs w:val="20"/>
    </w:rPr>
  </w:style>
  <w:style w:type="character" w:styleId="EndnoteReference">
    <w:name w:val="endnote reference"/>
    <w:basedOn w:val="DefaultParagraphFont"/>
    <w:uiPriority w:val="99"/>
    <w:semiHidden/>
    <w:unhideWhenUsed/>
    <w:rsid w:val="000A6BEE"/>
    <w:rPr>
      <w:vertAlign w:val="superscript"/>
    </w:rPr>
  </w:style>
  <w:style w:type="character" w:styleId="Emphasis">
    <w:name w:val="Emphasis"/>
    <w:basedOn w:val="DefaultParagraphFont"/>
    <w:uiPriority w:val="20"/>
    <w:qFormat/>
    <w:rsid w:val="00534122"/>
    <w:rPr>
      <w:i/>
      <w:iCs/>
    </w:rPr>
  </w:style>
  <w:style w:type="table" w:styleId="LightList-Accent1">
    <w:name w:val="Light List Accent 1"/>
    <w:basedOn w:val="TableNormal"/>
    <w:uiPriority w:val="61"/>
    <w:rsid w:val="00C138E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C1"/>
  </w:style>
  <w:style w:type="paragraph" w:styleId="Heading1">
    <w:name w:val="heading 1"/>
    <w:basedOn w:val="Normal"/>
    <w:next w:val="Normal"/>
    <w:link w:val="Heading1Char"/>
    <w:uiPriority w:val="9"/>
    <w:qFormat/>
    <w:rsid w:val="00F847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8479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BF6"/>
  </w:style>
  <w:style w:type="paragraph" w:styleId="Footer">
    <w:name w:val="footer"/>
    <w:basedOn w:val="Normal"/>
    <w:link w:val="FooterChar"/>
    <w:uiPriority w:val="99"/>
    <w:unhideWhenUsed/>
    <w:rsid w:val="003E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BF6"/>
  </w:style>
  <w:style w:type="paragraph" w:customStyle="1" w:styleId="Deloitte2">
    <w:name w:val="Deloitte 2"/>
    <w:basedOn w:val="Normal"/>
    <w:link w:val="Deloitte2Char"/>
    <w:qFormat/>
    <w:rsid w:val="00DC65B3"/>
    <w:pPr>
      <w:keepNext/>
      <w:spacing w:before="240" w:after="60" w:line="240" w:lineRule="auto"/>
      <w:outlineLvl w:val="1"/>
    </w:pPr>
    <w:rPr>
      <w:rFonts w:ascii="Arial" w:eastAsia="Times New Roman" w:hAnsi="Arial" w:cs="Arial"/>
      <w:b/>
      <w:bCs/>
      <w:iCs/>
      <w:color w:val="00A1DE"/>
      <w:sz w:val="24"/>
      <w:szCs w:val="28"/>
    </w:rPr>
  </w:style>
  <w:style w:type="character" w:customStyle="1" w:styleId="Deloitte2Char">
    <w:name w:val="Deloitte 2 Char"/>
    <w:basedOn w:val="DefaultParagraphFont"/>
    <w:link w:val="Deloitte2"/>
    <w:rsid w:val="00DC65B3"/>
    <w:rPr>
      <w:rFonts w:ascii="Arial" w:eastAsia="Times New Roman" w:hAnsi="Arial" w:cs="Arial"/>
      <w:b/>
      <w:bCs/>
      <w:iCs/>
      <w:color w:val="00A1DE"/>
      <w:sz w:val="24"/>
      <w:szCs w:val="28"/>
    </w:rPr>
  </w:style>
  <w:style w:type="paragraph" w:styleId="ListParagraph">
    <w:name w:val="List Paragraph"/>
    <w:aliases w:val="Resume Title"/>
    <w:basedOn w:val="Normal"/>
    <w:link w:val="ListParagraphChar"/>
    <w:uiPriority w:val="34"/>
    <w:qFormat/>
    <w:rsid w:val="00F36054"/>
    <w:pPr>
      <w:ind w:left="720"/>
      <w:contextualSpacing/>
    </w:pPr>
  </w:style>
  <w:style w:type="character" w:customStyle="1" w:styleId="ListParagraphChar">
    <w:name w:val="List Paragraph Char"/>
    <w:aliases w:val="Resume Title Char"/>
    <w:link w:val="ListParagraph"/>
    <w:uiPriority w:val="34"/>
    <w:rsid w:val="00EB59A7"/>
  </w:style>
  <w:style w:type="character" w:styleId="CommentReference">
    <w:name w:val="annotation reference"/>
    <w:basedOn w:val="DefaultParagraphFont"/>
    <w:uiPriority w:val="99"/>
    <w:semiHidden/>
    <w:unhideWhenUsed/>
    <w:rsid w:val="00EB59A7"/>
    <w:rPr>
      <w:sz w:val="16"/>
      <w:szCs w:val="16"/>
    </w:rPr>
  </w:style>
  <w:style w:type="paragraph" w:styleId="CommentText">
    <w:name w:val="annotation text"/>
    <w:basedOn w:val="Normal"/>
    <w:link w:val="CommentTextChar"/>
    <w:uiPriority w:val="99"/>
    <w:semiHidden/>
    <w:unhideWhenUsed/>
    <w:rsid w:val="00EB59A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B59A7"/>
    <w:rPr>
      <w:sz w:val="20"/>
      <w:szCs w:val="20"/>
    </w:rPr>
  </w:style>
  <w:style w:type="paragraph" w:styleId="BalloonText">
    <w:name w:val="Balloon Text"/>
    <w:basedOn w:val="Normal"/>
    <w:link w:val="BalloonTextChar"/>
    <w:uiPriority w:val="99"/>
    <w:semiHidden/>
    <w:unhideWhenUsed/>
    <w:rsid w:val="00EB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A7"/>
    <w:rPr>
      <w:rFonts w:ascii="Segoe UI" w:hAnsi="Segoe UI" w:cs="Segoe UI"/>
      <w:sz w:val="18"/>
      <w:szCs w:val="18"/>
    </w:rPr>
  </w:style>
  <w:style w:type="paragraph" w:styleId="BodyText">
    <w:name w:val="Body Text"/>
    <w:basedOn w:val="Normal"/>
    <w:link w:val="BodyTextChar"/>
    <w:uiPriority w:val="99"/>
    <w:unhideWhenUsed/>
    <w:qFormat/>
    <w:rsid w:val="00C2021D"/>
    <w:pPr>
      <w:spacing w:after="120" w:line="264" w:lineRule="auto"/>
    </w:pPr>
    <w:rPr>
      <w:rFonts w:ascii="Times New Roman" w:hAnsi="Times New Roman"/>
    </w:rPr>
  </w:style>
  <w:style w:type="character" w:customStyle="1" w:styleId="BodyTextChar">
    <w:name w:val="Body Text Char"/>
    <w:basedOn w:val="DefaultParagraphFont"/>
    <w:link w:val="BodyText"/>
    <w:uiPriority w:val="99"/>
    <w:rsid w:val="00C2021D"/>
    <w:rPr>
      <w:rFonts w:ascii="Times New Roman" w:hAnsi="Times New Roman"/>
    </w:rPr>
  </w:style>
  <w:style w:type="character" w:styleId="Hyperlink">
    <w:name w:val="Hyperlink"/>
    <w:basedOn w:val="DefaultParagraphFont"/>
    <w:uiPriority w:val="99"/>
    <w:unhideWhenUsed/>
    <w:rsid w:val="009719B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16902"/>
    <w:pPr>
      <w:spacing w:after="160"/>
    </w:pPr>
    <w:rPr>
      <w:b/>
      <w:bCs/>
    </w:rPr>
  </w:style>
  <w:style w:type="character" w:customStyle="1" w:styleId="CommentSubjectChar">
    <w:name w:val="Comment Subject Char"/>
    <w:basedOn w:val="CommentTextChar"/>
    <w:link w:val="CommentSubject"/>
    <w:uiPriority w:val="99"/>
    <w:semiHidden/>
    <w:rsid w:val="00C16902"/>
    <w:rPr>
      <w:b/>
      <w:bCs/>
      <w:sz w:val="20"/>
      <w:szCs w:val="20"/>
    </w:rPr>
  </w:style>
  <w:style w:type="character" w:customStyle="1" w:styleId="apple-converted-space">
    <w:name w:val="apple-converted-space"/>
    <w:basedOn w:val="DefaultParagraphFont"/>
    <w:rsid w:val="00950116"/>
  </w:style>
  <w:style w:type="paragraph" w:styleId="Revision">
    <w:name w:val="Revision"/>
    <w:hidden/>
    <w:uiPriority w:val="99"/>
    <w:semiHidden/>
    <w:rsid w:val="00813F11"/>
    <w:pPr>
      <w:spacing w:after="0" w:line="240" w:lineRule="auto"/>
    </w:pPr>
  </w:style>
  <w:style w:type="paragraph" w:styleId="FootnoteText">
    <w:name w:val="footnote text"/>
    <w:basedOn w:val="Normal"/>
    <w:link w:val="FootnoteTextChar"/>
    <w:uiPriority w:val="99"/>
    <w:unhideWhenUsed/>
    <w:rsid w:val="006015AA"/>
    <w:pPr>
      <w:spacing w:after="0" w:line="240" w:lineRule="auto"/>
    </w:pPr>
    <w:rPr>
      <w:sz w:val="20"/>
      <w:szCs w:val="20"/>
    </w:rPr>
  </w:style>
  <w:style w:type="character" w:customStyle="1" w:styleId="FootnoteTextChar">
    <w:name w:val="Footnote Text Char"/>
    <w:basedOn w:val="DefaultParagraphFont"/>
    <w:link w:val="FootnoteText"/>
    <w:uiPriority w:val="99"/>
    <w:rsid w:val="006015AA"/>
    <w:rPr>
      <w:sz w:val="20"/>
      <w:szCs w:val="20"/>
    </w:rPr>
  </w:style>
  <w:style w:type="character" w:styleId="FootnoteReference">
    <w:name w:val="footnote reference"/>
    <w:basedOn w:val="DefaultParagraphFont"/>
    <w:uiPriority w:val="99"/>
    <w:semiHidden/>
    <w:unhideWhenUsed/>
    <w:rsid w:val="006015AA"/>
    <w:rPr>
      <w:vertAlign w:val="superscript"/>
    </w:rPr>
  </w:style>
  <w:style w:type="paragraph" w:customStyle="1" w:styleId="Default">
    <w:name w:val="Default"/>
    <w:rsid w:val="006015A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5C72"/>
    <w:rPr>
      <w:color w:val="954F72" w:themeColor="followedHyperlink"/>
      <w:u w:val="single"/>
    </w:rPr>
  </w:style>
  <w:style w:type="table" w:styleId="TableGrid">
    <w:name w:val="Table Grid"/>
    <w:basedOn w:val="TableNormal"/>
    <w:uiPriority w:val="39"/>
    <w:rsid w:val="004B6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E3177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E3177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E3177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uiPriority w:val="49"/>
    <w:rsid w:val="00E3177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F8479D"/>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F8479D"/>
    <w:rPr>
      <w:rFonts w:asciiTheme="majorHAnsi" w:eastAsiaTheme="majorEastAsia" w:hAnsiTheme="majorHAnsi" w:cstheme="majorBidi"/>
      <w:b/>
      <w:bCs/>
      <w:color w:val="2E74B5" w:themeColor="accent1" w:themeShade="BF"/>
      <w:sz w:val="28"/>
      <w:szCs w:val="28"/>
    </w:rPr>
  </w:style>
  <w:style w:type="table" w:styleId="LightList-Accent5">
    <w:name w:val="Light List Accent 5"/>
    <w:basedOn w:val="TableNormal"/>
    <w:uiPriority w:val="61"/>
    <w:rsid w:val="00DB0A27"/>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TOCHeading">
    <w:name w:val="TOC Heading"/>
    <w:basedOn w:val="Heading1"/>
    <w:next w:val="Normal"/>
    <w:uiPriority w:val="39"/>
    <w:unhideWhenUsed/>
    <w:qFormat/>
    <w:rsid w:val="005520FF"/>
    <w:pPr>
      <w:spacing w:line="276" w:lineRule="auto"/>
      <w:outlineLvl w:val="9"/>
    </w:pPr>
    <w:rPr>
      <w:lang w:eastAsia="ja-JP"/>
    </w:rPr>
  </w:style>
  <w:style w:type="paragraph" w:styleId="TOC1">
    <w:name w:val="toc 1"/>
    <w:basedOn w:val="Normal"/>
    <w:next w:val="Normal"/>
    <w:autoRedefine/>
    <w:uiPriority w:val="39"/>
    <w:unhideWhenUsed/>
    <w:rsid w:val="005520FF"/>
    <w:pPr>
      <w:spacing w:after="100"/>
    </w:pPr>
  </w:style>
  <w:style w:type="paragraph" w:styleId="TOC2">
    <w:name w:val="toc 2"/>
    <w:basedOn w:val="Normal"/>
    <w:next w:val="Normal"/>
    <w:autoRedefine/>
    <w:uiPriority w:val="39"/>
    <w:unhideWhenUsed/>
    <w:rsid w:val="005520FF"/>
    <w:pPr>
      <w:spacing w:after="100"/>
      <w:ind w:left="220"/>
    </w:pPr>
  </w:style>
  <w:style w:type="paragraph" w:styleId="EndnoteText">
    <w:name w:val="endnote text"/>
    <w:basedOn w:val="Normal"/>
    <w:link w:val="EndnoteTextChar"/>
    <w:uiPriority w:val="99"/>
    <w:semiHidden/>
    <w:unhideWhenUsed/>
    <w:rsid w:val="000A6B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BEE"/>
    <w:rPr>
      <w:sz w:val="20"/>
      <w:szCs w:val="20"/>
    </w:rPr>
  </w:style>
  <w:style w:type="character" w:styleId="EndnoteReference">
    <w:name w:val="endnote reference"/>
    <w:basedOn w:val="DefaultParagraphFont"/>
    <w:uiPriority w:val="99"/>
    <w:semiHidden/>
    <w:unhideWhenUsed/>
    <w:rsid w:val="000A6BEE"/>
    <w:rPr>
      <w:vertAlign w:val="superscript"/>
    </w:rPr>
  </w:style>
  <w:style w:type="character" w:styleId="Emphasis">
    <w:name w:val="Emphasis"/>
    <w:basedOn w:val="DefaultParagraphFont"/>
    <w:uiPriority w:val="20"/>
    <w:qFormat/>
    <w:rsid w:val="00534122"/>
    <w:rPr>
      <w:i/>
      <w:iCs/>
    </w:rPr>
  </w:style>
  <w:style w:type="table" w:styleId="LightList-Accent1">
    <w:name w:val="Light List Accent 1"/>
    <w:basedOn w:val="TableNormal"/>
    <w:uiPriority w:val="61"/>
    <w:rsid w:val="00C138E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209">
      <w:bodyDiv w:val="1"/>
      <w:marLeft w:val="0"/>
      <w:marRight w:val="0"/>
      <w:marTop w:val="0"/>
      <w:marBottom w:val="0"/>
      <w:divBdr>
        <w:top w:val="none" w:sz="0" w:space="0" w:color="auto"/>
        <w:left w:val="none" w:sz="0" w:space="0" w:color="auto"/>
        <w:bottom w:val="none" w:sz="0" w:space="0" w:color="auto"/>
        <w:right w:val="none" w:sz="0" w:space="0" w:color="auto"/>
      </w:divBdr>
      <w:divsChild>
        <w:div w:id="540676217">
          <w:marLeft w:val="0"/>
          <w:marRight w:val="0"/>
          <w:marTop w:val="0"/>
          <w:marBottom w:val="0"/>
          <w:divBdr>
            <w:top w:val="none" w:sz="0" w:space="0" w:color="auto"/>
            <w:left w:val="none" w:sz="0" w:space="0" w:color="auto"/>
            <w:bottom w:val="none" w:sz="0" w:space="0" w:color="auto"/>
            <w:right w:val="none" w:sz="0" w:space="0" w:color="auto"/>
          </w:divBdr>
          <w:divsChild>
            <w:div w:id="714743040">
              <w:marLeft w:val="0"/>
              <w:marRight w:val="0"/>
              <w:marTop w:val="150"/>
              <w:marBottom w:val="0"/>
              <w:divBdr>
                <w:top w:val="none" w:sz="0" w:space="0" w:color="auto"/>
                <w:left w:val="none" w:sz="0" w:space="0" w:color="auto"/>
                <w:bottom w:val="none" w:sz="0" w:space="0" w:color="auto"/>
                <w:right w:val="none" w:sz="0" w:space="0" w:color="auto"/>
              </w:divBdr>
              <w:divsChild>
                <w:div w:id="1793555502">
                  <w:marLeft w:val="0"/>
                  <w:marRight w:val="0"/>
                  <w:marTop w:val="0"/>
                  <w:marBottom w:val="0"/>
                  <w:divBdr>
                    <w:top w:val="none" w:sz="0" w:space="0" w:color="auto"/>
                    <w:left w:val="none" w:sz="0" w:space="0" w:color="auto"/>
                    <w:bottom w:val="none" w:sz="0" w:space="0" w:color="auto"/>
                    <w:right w:val="none" w:sz="0" w:space="0" w:color="auto"/>
                  </w:divBdr>
                  <w:divsChild>
                    <w:div w:id="453056756">
                      <w:marLeft w:val="0"/>
                      <w:marRight w:val="0"/>
                      <w:marTop w:val="0"/>
                      <w:marBottom w:val="0"/>
                      <w:divBdr>
                        <w:top w:val="none" w:sz="0" w:space="0" w:color="auto"/>
                        <w:left w:val="none" w:sz="0" w:space="0" w:color="auto"/>
                        <w:bottom w:val="none" w:sz="0" w:space="0" w:color="auto"/>
                        <w:right w:val="none" w:sz="0" w:space="0" w:color="auto"/>
                      </w:divBdr>
                      <w:divsChild>
                        <w:div w:id="21442244">
                          <w:marLeft w:val="0"/>
                          <w:marRight w:val="0"/>
                          <w:marTop w:val="0"/>
                          <w:marBottom w:val="0"/>
                          <w:divBdr>
                            <w:top w:val="none" w:sz="0" w:space="0" w:color="auto"/>
                            <w:left w:val="none" w:sz="0" w:space="0" w:color="auto"/>
                            <w:bottom w:val="none" w:sz="0" w:space="0" w:color="auto"/>
                            <w:right w:val="none" w:sz="0" w:space="0" w:color="auto"/>
                          </w:divBdr>
                          <w:divsChild>
                            <w:div w:id="313678454">
                              <w:marLeft w:val="0"/>
                              <w:marRight w:val="0"/>
                              <w:marTop w:val="0"/>
                              <w:marBottom w:val="0"/>
                              <w:divBdr>
                                <w:top w:val="none" w:sz="0" w:space="0" w:color="auto"/>
                                <w:left w:val="none" w:sz="0" w:space="0" w:color="auto"/>
                                <w:bottom w:val="none" w:sz="0" w:space="0" w:color="auto"/>
                                <w:right w:val="none" w:sz="0" w:space="0" w:color="auto"/>
                              </w:divBdr>
                              <w:divsChild>
                                <w:div w:id="18315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15941">
      <w:bodyDiv w:val="1"/>
      <w:marLeft w:val="0"/>
      <w:marRight w:val="0"/>
      <w:marTop w:val="0"/>
      <w:marBottom w:val="0"/>
      <w:divBdr>
        <w:top w:val="none" w:sz="0" w:space="0" w:color="auto"/>
        <w:left w:val="none" w:sz="0" w:space="0" w:color="auto"/>
        <w:bottom w:val="none" w:sz="0" w:space="0" w:color="auto"/>
        <w:right w:val="none" w:sz="0" w:space="0" w:color="auto"/>
      </w:divBdr>
    </w:div>
    <w:div w:id="1691713205">
      <w:bodyDiv w:val="1"/>
      <w:marLeft w:val="0"/>
      <w:marRight w:val="0"/>
      <w:marTop w:val="0"/>
      <w:marBottom w:val="0"/>
      <w:divBdr>
        <w:top w:val="none" w:sz="0" w:space="0" w:color="auto"/>
        <w:left w:val="none" w:sz="0" w:space="0" w:color="auto"/>
        <w:bottom w:val="none" w:sz="0" w:space="0" w:color="auto"/>
        <w:right w:val="none" w:sz="0" w:space="0" w:color="auto"/>
      </w:divBdr>
      <w:divsChild>
        <w:div w:id="1534146676">
          <w:marLeft w:val="0"/>
          <w:marRight w:val="0"/>
          <w:marTop w:val="0"/>
          <w:marBottom w:val="0"/>
          <w:divBdr>
            <w:top w:val="none" w:sz="0" w:space="0" w:color="auto"/>
            <w:left w:val="none" w:sz="0" w:space="0" w:color="auto"/>
            <w:bottom w:val="none" w:sz="0" w:space="0" w:color="auto"/>
            <w:right w:val="none" w:sz="0" w:space="0" w:color="auto"/>
          </w:divBdr>
          <w:divsChild>
            <w:div w:id="1914198822">
              <w:marLeft w:val="0"/>
              <w:marRight w:val="0"/>
              <w:marTop w:val="150"/>
              <w:marBottom w:val="0"/>
              <w:divBdr>
                <w:top w:val="none" w:sz="0" w:space="0" w:color="auto"/>
                <w:left w:val="none" w:sz="0" w:space="0" w:color="auto"/>
                <w:bottom w:val="none" w:sz="0" w:space="0" w:color="auto"/>
                <w:right w:val="none" w:sz="0" w:space="0" w:color="auto"/>
              </w:divBdr>
              <w:divsChild>
                <w:div w:id="1686980362">
                  <w:marLeft w:val="0"/>
                  <w:marRight w:val="0"/>
                  <w:marTop w:val="0"/>
                  <w:marBottom w:val="0"/>
                  <w:divBdr>
                    <w:top w:val="none" w:sz="0" w:space="0" w:color="auto"/>
                    <w:left w:val="none" w:sz="0" w:space="0" w:color="auto"/>
                    <w:bottom w:val="none" w:sz="0" w:space="0" w:color="auto"/>
                    <w:right w:val="none" w:sz="0" w:space="0" w:color="auto"/>
                  </w:divBdr>
                  <w:divsChild>
                    <w:div w:id="1696494172">
                      <w:marLeft w:val="0"/>
                      <w:marRight w:val="0"/>
                      <w:marTop w:val="0"/>
                      <w:marBottom w:val="0"/>
                      <w:divBdr>
                        <w:top w:val="none" w:sz="0" w:space="0" w:color="auto"/>
                        <w:left w:val="none" w:sz="0" w:space="0" w:color="auto"/>
                        <w:bottom w:val="none" w:sz="0" w:space="0" w:color="auto"/>
                        <w:right w:val="none" w:sz="0" w:space="0" w:color="auto"/>
                      </w:divBdr>
                      <w:divsChild>
                        <w:div w:id="1956861443">
                          <w:marLeft w:val="0"/>
                          <w:marRight w:val="0"/>
                          <w:marTop w:val="0"/>
                          <w:marBottom w:val="0"/>
                          <w:divBdr>
                            <w:top w:val="none" w:sz="0" w:space="0" w:color="auto"/>
                            <w:left w:val="none" w:sz="0" w:space="0" w:color="auto"/>
                            <w:bottom w:val="none" w:sz="0" w:space="0" w:color="auto"/>
                            <w:right w:val="none" w:sz="0" w:space="0" w:color="auto"/>
                          </w:divBdr>
                          <w:divsChild>
                            <w:div w:id="16722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mc/articles/PMC2359833/" TargetMode="External"/><Relationship Id="rId13" Type="http://schemas.openxmlformats.org/officeDocument/2006/relationships/hyperlink" Target="http://www.ppiaf.org/sites/ppiaf.org/files/publication/PPIAF-Impact-Stories-Egypt-Wastewater.pdf" TargetMode="External"/><Relationship Id="rId18" Type="http://schemas.openxmlformats.org/officeDocument/2006/relationships/hyperlink" Target="http://www.pppcentralunit.mof.gov.eg/SiteCollectionDocuments/PPPCUSite/Info%20memo.pdf" TargetMode="External"/><Relationship Id="rId26" Type="http://schemas.openxmlformats.org/officeDocument/2006/relationships/hyperlink" Target="http://www.globalwaterintel.com/pinsent-masons-yearbook/2012-2013/part-ii/14/" TargetMode="External"/><Relationship Id="rId3" Type="http://schemas.openxmlformats.org/officeDocument/2006/relationships/hyperlink" Target="http://toolkit.pppinindia.com/highways/module3-rocs-asp8.php?links=asp8" TargetMode="External"/><Relationship Id="rId21" Type="http://schemas.openxmlformats.org/officeDocument/2006/relationships/hyperlink" Target="http://web.idrc.ca/uploads/user-S/118347449412007_Final_Edit_Management_Models_of_Water_and_Sanitation_Approaches_to_Decentralization_in_Honduras.pdf" TargetMode="External"/><Relationship Id="rId34" Type="http://schemas.openxmlformats.org/officeDocument/2006/relationships/hyperlink" Target="http://bankwatch.org/documents/PPPs/PPP-Zagreb-wastewater.pdf" TargetMode="External"/><Relationship Id="rId7" Type="http://schemas.openxmlformats.org/officeDocument/2006/relationships/hyperlink" Target="http://rtichennai.cag.gov.in/rti-website/rti-chennai/download/CaseStudyPPP.pdf" TargetMode="External"/><Relationship Id="rId12" Type="http://schemas.openxmlformats.org/officeDocument/2006/relationships/hyperlink" Target="http://www.ppiaf.org/sites/ppiaf.org/files/publication/PPIAF-Impact-Stories-Egypt-Wastewater.pdf" TargetMode="External"/><Relationship Id="rId17" Type="http://schemas.openxmlformats.org/officeDocument/2006/relationships/hyperlink" Target="http://www.icat.com.eg/newcairo.html" TargetMode="External"/><Relationship Id="rId25" Type="http://schemas.openxmlformats.org/officeDocument/2006/relationships/hyperlink" Target="http://www.foodandwaterwatch.org/global/latin-america/ecuador/guayaquil-%E2%80%93-bechtel-deceives-the-people-again/" TargetMode="External"/><Relationship Id="rId33" Type="http://schemas.openxmlformats.org/officeDocument/2006/relationships/hyperlink" Target="http://www.ijonline.com/articles/14763/zov-wastewater-project" TargetMode="External"/><Relationship Id="rId2" Type="http://schemas.openxmlformats.org/officeDocument/2006/relationships/hyperlink" Target="http://www.developmentfunds.org/pubs/Alandur%20Sewerage%20Project.doc" TargetMode="External"/><Relationship Id="rId16" Type="http://schemas.openxmlformats.org/officeDocument/2006/relationships/hyperlink" Target="http://www.pppcentralunit.mof.gov.eg/SiteCollectionDocuments/PPPCUSite/Info%20memo.pdf" TargetMode="External"/><Relationship Id="rId20" Type="http://schemas.openxmlformats.org/officeDocument/2006/relationships/hyperlink" Target="http://en.wikipedia.org/wiki/Water_privatization_in_San_Pedro_Sula,_Honduras" TargetMode="External"/><Relationship Id="rId29" Type="http://schemas.openxmlformats.org/officeDocument/2006/relationships/hyperlink" Target="http://www-wds.worldbank.org/external/default/WDSContentServer/WDSP/IB/2008/10/29/000076092_20081102145718/Rendered/PDF/Project0Inform1cument1Concept0Stage.pdf" TargetMode="External"/><Relationship Id="rId1" Type="http://schemas.openxmlformats.org/officeDocument/2006/relationships/hyperlink" Target="http://www.slideshare.net/rockingruler/alandur-sewerage-proj-arun" TargetMode="External"/><Relationship Id="rId6" Type="http://schemas.openxmlformats.org/officeDocument/2006/relationships/hyperlink" Target="http://rtichennai.cag.gov.in/rti-website/rti-chennai/download/CaseStudyPPP.pdf" TargetMode="External"/><Relationship Id="rId11" Type="http://schemas.openxmlformats.org/officeDocument/2006/relationships/hyperlink" Target="http://adb.org/sites/default/files/pub/2010/urbandev-prc-nov2010-wastewater.pdf" TargetMode="External"/><Relationship Id="rId24" Type="http://schemas.openxmlformats.org/officeDocument/2006/relationships/hyperlink" Target="http://ciel.org/Publications/MurkyWaters_Background_15Apr08.pdf" TargetMode="External"/><Relationship Id="rId32" Type="http://schemas.openxmlformats.org/officeDocument/2006/relationships/hyperlink" Target="http://www.zagreb.hr/UserDocsImages/ENG%20ozujak.pptx" TargetMode="External"/><Relationship Id="rId5" Type="http://schemas.openxmlformats.org/officeDocument/2006/relationships/hyperlink" Target="http://rtichennai.cag.gov.in/rti-website/rti-chennai/download/CaseStudyPPP.pdf" TargetMode="External"/><Relationship Id="rId15" Type="http://schemas.openxmlformats.org/officeDocument/2006/relationships/hyperlink" Target="http://www.icafrica.org/fileadmin/documents/ICA_sponsored_events/IFC_PPP_Water_Dakar_June2012/Presentations/Training_Day/T%203c_New%20Cairo%20training_Draz.pdf" TargetMode="External"/><Relationship Id="rId23" Type="http://schemas.openxmlformats.org/officeDocument/2006/relationships/hyperlink" Target="http://www.globalwaterintel.com/pinsent-masons-yearbook/2012-2013/part-ii/14/" TargetMode="External"/><Relationship Id="rId28" Type="http://schemas.openxmlformats.org/officeDocument/2006/relationships/hyperlink" Target="http://siteresources.worldbank.org/INTENBREVE/Newsletters/21455620/Feb07_102_Salta_EN.pdf" TargetMode="External"/><Relationship Id="rId10" Type="http://schemas.openxmlformats.org/officeDocument/2006/relationships/hyperlink" Target="http://www.globalwaterintel.com/pinsent-masons-yearbook/2012-2013/part-iii/company-analysis-local-regional-players/china/31/" TargetMode="External"/><Relationship Id="rId19" Type="http://schemas.openxmlformats.org/officeDocument/2006/relationships/hyperlink" Target="http://www.meed.com/sectors/water/wastewater/egypt-cancels-wastewater-ppp-project/3136535.article" TargetMode="External"/><Relationship Id="rId31" Type="http://schemas.openxmlformats.org/officeDocument/2006/relationships/hyperlink" Target="http://www-wds.worldbank.org/external/default/WDSContentServer/WDSP/LCR/2014/02/24/090224b0822c18d7/1_0/Rendered/PDF/Brazil000BR0Sa0Report000Sequence007.pdf" TargetMode="External"/><Relationship Id="rId4" Type="http://schemas.openxmlformats.org/officeDocument/2006/relationships/hyperlink" Target="http://www.iddkarnataka.gov.in/docs/CS_Alandur.pdf" TargetMode="External"/><Relationship Id="rId9" Type="http://schemas.openxmlformats.org/officeDocument/2006/relationships/hyperlink" Target="http://www.frost.com/prod/servlet/market-insight-print.pag?docid=JEVS-5MZMAY" TargetMode="External"/><Relationship Id="rId14" Type="http://schemas.openxmlformats.org/officeDocument/2006/relationships/hyperlink" Target="http://www.globalwaterintel.com/news/2010/5/landmark-new-cairo-deal-reaches-financial-close.html" TargetMode="External"/><Relationship Id="rId22" Type="http://schemas.openxmlformats.org/officeDocument/2006/relationships/hyperlink" Target="http://web.idrc.ca/uploads/user-S/118347449412007_Final_Edit_Management_Models_of_Water_and_Sanitation_Approaches_to_Decentralization_in_Honduras.pdf" TargetMode="External"/><Relationship Id="rId27" Type="http://schemas.openxmlformats.org/officeDocument/2006/relationships/hyperlink" Target="http://siteresources.worldbank.org/INTENBREVE/Newsletters/21455620/Feb07_102_Salta_EN.pdf" TargetMode="External"/><Relationship Id="rId30" Type="http://schemas.openxmlformats.org/officeDocument/2006/relationships/hyperlink" Target="http://www.worldbank.org/projects/P106703/sao-paulo-water-recovery-project-reagua?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274E-9EB9-44DA-B4B2-BD68B59F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9820</Words>
  <Characters>55974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Lescroart, Alex (US - Arlington)</dc:creator>
  <cp:lastModifiedBy>Jean d'amour Gatera</cp:lastModifiedBy>
  <cp:revision>2</cp:revision>
  <cp:lastPrinted>2014-11-11T20:33:00Z</cp:lastPrinted>
  <dcterms:created xsi:type="dcterms:W3CDTF">2015-03-23T08:47:00Z</dcterms:created>
  <dcterms:modified xsi:type="dcterms:W3CDTF">2015-03-23T08:47:00Z</dcterms:modified>
</cp:coreProperties>
</file>