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35" w:rsidRPr="00DE066E" w:rsidRDefault="008B1A35" w:rsidP="00A6432A">
      <w:pPr>
        <w:pStyle w:val="Heading1"/>
        <w:pBdr>
          <w:top w:val="single" w:sz="4" w:space="1" w:color="auto"/>
          <w:bottom w:val="single" w:sz="4" w:space="1" w:color="auto"/>
        </w:pBdr>
        <w:spacing w:after="200" w:line="276" w:lineRule="auto"/>
        <w:rPr>
          <w:color w:val="auto"/>
          <w:sz w:val="24"/>
        </w:rPr>
      </w:pPr>
      <w:bookmarkStart w:id="0" w:name="_Toc156620035"/>
      <w:bookmarkStart w:id="1" w:name="_Toc122067519"/>
      <w:bookmarkStart w:id="2" w:name="_Toc123008448"/>
      <w:r w:rsidRPr="00DE066E">
        <w:rPr>
          <w:color w:val="auto"/>
          <w:sz w:val="24"/>
        </w:rPr>
        <w:t xml:space="preserve">Terms of Reference for the Preparation of </w:t>
      </w:r>
      <w:r w:rsidR="001166D6" w:rsidRPr="00DE066E">
        <w:rPr>
          <w:color w:val="auto"/>
          <w:sz w:val="24"/>
        </w:rPr>
        <w:t xml:space="preserve">2015/16 </w:t>
      </w:r>
      <w:r w:rsidRPr="00DE066E">
        <w:rPr>
          <w:color w:val="auto"/>
          <w:sz w:val="24"/>
        </w:rPr>
        <w:t>Forward - looking Joint Sector Review</w:t>
      </w:r>
      <w:bookmarkEnd w:id="0"/>
      <w:r w:rsidR="00507ED9" w:rsidRPr="00DE066E">
        <w:rPr>
          <w:color w:val="auto"/>
          <w:sz w:val="24"/>
        </w:rPr>
        <w:t xml:space="preserve">s </w:t>
      </w:r>
    </w:p>
    <w:p w:rsidR="001B05B1" w:rsidRPr="00DE066E" w:rsidRDefault="008B1A35" w:rsidP="002C0E75">
      <w:pPr>
        <w:widowControl w:val="0"/>
        <w:numPr>
          <w:ilvl w:val="0"/>
          <w:numId w:val="4"/>
        </w:numPr>
        <w:spacing w:after="200" w:line="276" w:lineRule="auto"/>
        <w:jc w:val="both"/>
        <w:rPr>
          <w:b/>
        </w:rPr>
      </w:pPr>
      <w:r w:rsidRPr="00DE066E">
        <w:rPr>
          <w:b/>
        </w:rPr>
        <w:t>Background and Rationale</w:t>
      </w:r>
    </w:p>
    <w:p w:rsidR="00B735ED" w:rsidRPr="00DE066E" w:rsidRDefault="008B1A35" w:rsidP="002C0E75">
      <w:pPr>
        <w:widowControl w:val="0"/>
        <w:shd w:val="clear" w:color="auto" w:fill="FFFFFF"/>
        <w:spacing w:after="200" w:line="276" w:lineRule="auto"/>
        <w:jc w:val="both"/>
      </w:pPr>
      <w:r w:rsidRPr="00DE066E">
        <w:t xml:space="preserve">The Joint Sector Review forums bring together all </w:t>
      </w:r>
      <w:r w:rsidR="001B5BF3" w:rsidRPr="00DE066E">
        <w:t>Sector Working Group (</w:t>
      </w:r>
      <w:r w:rsidRPr="00DE066E">
        <w:t>SWG</w:t>
      </w:r>
      <w:r w:rsidR="001B5BF3" w:rsidRPr="00DE066E">
        <w:t>)</w:t>
      </w:r>
      <w:r w:rsidRPr="00DE066E">
        <w:t xml:space="preserve"> stakeholders to engage in policy d</w:t>
      </w:r>
      <w:bookmarkStart w:id="3" w:name="_GoBack"/>
      <w:bookmarkEnd w:id="3"/>
      <w:r w:rsidRPr="00DE066E">
        <w:t>ialogue and to ensure ownership, accountability and transparency of the E</w:t>
      </w:r>
      <w:r w:rsidR="00031411" w:rsidRPr="00DE066E">
        <w:t>DPRS</w:t>
      </w:r>
      <w:r w:rsidR="00BF2078" w:rsidRPr="00DE066E">
        <w:t xml:space="preserve"> </w:t>
      </w:r>
      <w:r w:rsidR="00F20AE3" w:rsidRPr="00DE066E">
        <w:t xml:space="preserve">2 </w:t>
      </w:r>
      <w:r w:rsidRPr="00DE066E">
        <w:t>implementation and monitoring process.</w:t>
      </w:r>
      <w:r w:rsidR="00F20AE3" w:rsidRPr="00DE066E">
        <w:t xml:space="preserve"> </w:t>
      </w:r>
    </w:p>
    <w:p w:rsidR="001B05B1" w:rsidRPr="00DE066E" w:rsidRDefault="00F20AE3" w:rsidP="00EA6639">
      <w:pPr>
        <w:widowControl w:val="0"/>
        <w:shd w:val="clear" w:color="auto" w:fill="FFFFFF"/>
        <w:spacing w:after="200" w:line="276" w:lineRule="auto"/>
        <w:jc w:val="both"/>
        <w:rPr>
          <w:b/>
        </w:rPr>
      </w:pPr>
      <w:r w:rsidRPr="00DE066E">
        <w:rPr>
          <w:b/>
        </w:rPr>
        <w:t>Th</w:t>
      </w:r>
      <w:r w:rsidR="00507ED9" w:rsidRPr="00DE066E">
        <w:rPr>
          <w:b/>
        </w:rPr>
        <w:t xml:space="preserve">e 2015/16 </w:t>
      </w:r>
      <w:r w:rsidRPr="00DE066E">
        <w:rPr>
          <w:b/>
        </w:rPr>
        <w:t>forward looking</w:t>
      </w:r>
      <w:r w:rsidR="00030220" w:rsidRPr="00DE066E">
        <w:rPr>
          <w:b/>
        </w:rPr>
        <w:t xml:space="preserve"> Joint Sector</w:t>
      </w:r>
      <w:r w:rsidR="00F460E6" w:rsidRPr="00DE066E">
        <w:rPr>
          <w:b/>
        </w:rPr>
        <w:t xml:space="preserve"> R</w:t>
      </w:r>
      <w:r w:rsidRPr="00DE066E">
        <w:rPr>
          <w:b/>
        </w:rPr>
        <w:t xml:space="preserve">eview has </w:t>
      </w:r>
      <w:r w:rsidR="0053038E" w:rsidRPr="00DE066E">
        <w:rPr>
          <w:b/>
        </w:rPr>
        <w:t>f</w:t>
      </w:r>
      <w:r w:rsidR="00074338" w:rsidRPr="00DE066E">
        <w:rPr>
          <w:b/>
        </w:rPr>
        <w:t>ive</w:t>
      </w:r>
      <w:r w:rsidR="00EA6639" w:rsidRPr="00DE066E">
        <w:rPr>
          <w:b/>
        </w:rPr>
        <w:t xml:space="preserve"> (</w:t>
      </w:r>
      <w:r w:rsidR="00074338" w:rsidRPr="00DE066E">
        <w:rPr>
          <w:b/>
        </w:rPr>
        <w:t>5</w:t>
      </w:r>
      <w:r w:rsidR="00EA6639" w:rsidRPr="00DE066E">
        <w:rPr>
          <w:b/>
        </w:rPr>
        <w:t>)</w:t>
      </w:r>
      <w:r w:rsidR="00B024D2" w:rsidRPr="00DE066E">
        <w:rPr>
          <w:b/>
        </w:rPr>
        <w:t xml:space="preserve"> </w:t>
      </w:r>
      <w:r w:rsidRPr="00DE066E">
        <w:rPr>
          <w:b/>
        </w:rPr>
        <w:t>main objectives:</w:t>
      </w:r>
    </w:p>
    <w:p w:rsidR="00074338" w:rsidRPr="00DE066E" w:rsidRDefault="00074338" w:rsidP="00074338">
      <w:pPr>
        <w:widowControl w:val="0"/>
        <w:numPr>
          <w:ilvl w:val="0"/>
          <w:numId w:val="21"/>
        </w:numPr>
        <w:shd w:val="clear" w:color="auto" w:fill="FFFFFF"/>
        <w:spacing w:after="200"/>
        <w:jc w:val="both"/>
      </w:pPr>
      <w:r w:rsidRPr="00DE066E">
        <w:t xml:space="preserve">To </w:t>
      </w:r>
      <w:r w:rsidR="00605D96" w:rsidRPr="00DE066E">
        <w:t>present and discuss areas prioritized during the planning and budgeting process</w:t>
      </w:r>
    </w:p>
    <w:p w:rsidR="00074338" w:rsidRPr="00DE066E" w:rsidRDefault="00074338" w:rsidP="00074338">
      <w:pPr>
        <w:widowControl w:val="0"/>
        <w:numPr>
          <w:ilvl w:val="0"/>
          <w:numId w:val="21"/>
        </w:numPr>
        <w:shd w:val="clear" w:color="auto" w:fill="FFFFFF"/>
        <w:spacing w:after="200"/>
        <w:jc w:val="both"/>
      </w:pPr>
      <w:r w:rsidRPr="00DE066E">
        <w:t xml:space="preserve">To discuss and validate the 2015/16 sector targets and related policy actions </w:t>
      </w:r>
    </w:p>
    <w:p w:rsidR="00074338" w:rsidRPr="00DE066E" w:rsidRDefault="00074338" w:rsidP="00074338">
      <w:pPr>
        <w:pStyle w:val="CommentText"/>
        <w:widowControl w:val="0"/>
        <w:numPr>
          <w:ilvl w:val="0"/>
          <w:numId w:val="21"/>
        </w:numPr>
        <w:shd w:val="clear" w:color="auto" w:fill="FFFFFF"/>
        <w:spacing w:after="200" w:line="276" w:lineRule="auto"/>
        <w:jc w:val="both"/>
        <w:rPr>
          <w:sz w:val="24"/>
          <w:szCs w:val="24"/>
        </w:rPr>
      </w:pPr>
      <w:r w:rsidRPr="00DE066E">
        <w:rPr>
          <w:sz w:val="24"/>
          <w:szCs w:val="24"/>
        </w:rPr>
        <w:t xml:space="preserve">To select policy-related studies to be conducted in  2015/16 fiscal year and briefly report </w:t>
      </w:r>
      <w:r w:rsidR="00605D96" w:rsidRPr="00DE066E">
        <w:rPr>
          <w:sz w:val="24"/>
          <w:szCs w:val="24"/>
        </w:rPr>
        <w:t>progress on</w:t>
      </w:r>
      <w:r w:rsidRPr="00DE066E">
        <w:rPr>
          <w:sz w:val="24"/>
          <w:szCs w:val="24"/>
        </w:rPr>
        <w:t xml:space="preserve"> 2014/15 analytical works</w:t>
      </w:r>
    </w:p>
    <w:p w:rsidR="00074338" w:rsidRPr="00DE066E" w:rsidRDefault="00074338" w:rsidP="00074338">
      <w:pPr>
        <w:pStyle w:val="CommentText"/>
        <w:widowControl w:val="0"/>
        <w:numPr>
          <w:ilvl w:val="0"/>
          <w:numId w:val="21"/>
        </w:numPr>
        <w:shd w:val="clear" w:color="auto" w:fill="FFFFFF"/>
        <w:spacing w:after="200" w:line="276" w:lineRule="auto"/>
        <w:jc w:val="both"/>
        <w:rPr>
          <w:sz w:val="24"/>
          <w:szCs w:val="24"/>
        </w:rPr>
      </w:pPr>
      <w:r w:rsidRPr="00DE066E">
        <w:rPr>
          <w:sz w:val="24"/>
          <w:szCs w:val="24"/>
        </w:rPr>
        <w:t xml:space="preserve">To assess progress towards  implementation of  the 2014/15 policy actions </w:t>
      </w:r>
    </w:p>
    <w:p w:rsidR="00074338" w:rsidRPr="00DE066E" w:rsidRDefault="00605D96" w:rsidP="00074338">
      <w:pPr>
        <w:pStyle w:val="CommentText"/>
        <w:widowControl w:val="0"/>
        <w:numPr>
          <w:ilvl w:val="0"/>
          <w:numId w:val="21"/>
        </w:numPr>
        <w:shd w:val="clear" w:color="auto" w:fill="FFFFFF"/>
        <w:spacing w:after="200" w:line="276" w:lineRule="auto"/>
        <w:jc w:val="both"/>
        <w:rPr>
          <w:sz w:val="24"/>
          <w:szCs w:val="24"/>
        </w:rPr>
      </w:pPr>
      <w:r w:rsidRPr="00DE066E">
        <w:rPr>
          <w:sz w:val="24"/>
          <w:szCs w:val="24"/>
        </w:rPr>
        <w:t xml:space="preserve">To </w:t>
      </w:r>
      <w:r w:rsidR="00074338" w:rsidRPr="00DE066E">
        <w:rPr>
          <w:sz w:val="24"/>
          <w:szCs w:val="24"/>
        </w:rPr>
        <w:t>Assess the relevance of a mid-term review of the sector strategic plan (SSP)</w:t>
      </w:r>
    </w:p>
    <w:p w:rsidR="008B1A35" w:rsidRPr="00DE066E" w:rsidRDefault="00C666BA" w:rsidP="002C0E75">
      <w:pPr>
        <w:numPr>
          <w:ilvl w:val="0"/>
          <w:numId w:val="4"/>
        </w:numPr>
        <w:shd w:val="clear" w:color="auto" w:fill="FFFFFF"/>
        <w:spacing w:after="200" w:line="276" w:lineRule="auto"/>
        <w:jc w:val="both"/>
        <w:rPr>
          <w:b/>
        </w:rPr>
      </w:pPr>
      <w:r w:rsidRPr="00DE066E">
        <w:rPr>
          <w:b/>
        </w:rPr>
        <w:t xml:space="preserve">Detailed requirements </w:t>
      </w:r>
      <w:r w:rsidR="00A6432A" w:rsidRPr="00DE066E">
        <w:rPr>
          <w:b/>
        </w:rPr>
        <w:t>of 2015/16</w:t>
      </w:r>
      <w:r w:rsidR="008B1A35" w:rsidRPr="00DE066E">
        <w:rPr>
          <w:b/>
        </w:rPr>
        <w:t xml:space="preserve"> forward-looking JSRs</w:t>
      </w:r>
    </w:p>
    <w:p w:rsidR="00605D96" w:rsidRPr="00DE066E" w:rsidRDefault="00605D96" w:rsidP="00605D96">
      <w:pPr>
        <w:widowControl w:val="0"/>
        <w:numPr>
          <w:ilvl w:val="0"/>
          <w:numId w:val="5"/>
        </w:numPr>
        <w:shd w:val="clear" w:color="auto" w:fill="FFFFFF"/>
        <w:spacing w:after="200"/>
        <w:jc w:val="both"/>
        <w:rPr>
          <w:u w:val="single"/>
        </w:rPr>
      </w:pPr>
      <w:r w:rsidRPr="00DE066E">
        <w:rPr>
          <w:u w:val="single"/>
        </w:rPr>
        <w:t>To present and discuss areas prioritized during the planning and budgeting process</w:t>
      </w:r>
    </w:p>
    <w:p w:rsidR="00605D96" w:rsidRPr="00DE066E" w:rsidRDefault="001B3C62" w:rsidP="00605D96">
      <w:pPr>
        <w:pStyle w:val="CommentText"/>
        <w:numPr>
          <w:ilvl w:val="0"/>
          <w:numId w:val="22"/>
        </w:numPr>
        <w:jc w:val="both"/>
        <w:rPr>
          <w:sz w:val="24"/>
          <w:szCs w:val="24"/>
        </w:rPr>
      </w:pPr>
      <w:r>
        <w:rPr>
          <w:sz w:val="24"/>
          <w:szCs w:val="24"/>
        </w:rPr>
        <w:t>T</w:t>
      </w:r>
      <w:r w:rsidR="00605D96" w:rsidRPr="00DE066E">
        <w:rPr>
          <w:sz w:val="24"/>
          <w:szCs w:val="24"/>
        </w:rPr>
        <w:t>he 2013/14 backward looking JSRs held in October 2014</w:t>
      </w:r>
      <w:r>
        <w:rPr>
          <w:sz w:val="24"/>
          <w:szCs w:val="24"/>
        </w:rPr>
        <w:t xml:space="preserve"> identified </w:t>
      </w:r>
      <w:r w:rsidR="00605D96" w:rsidRPr="00DE066E">
        <w:rPr>
          <w:sz w:val="24"/>
          <w:szCs w:val="24"/>
        </w:rPr>
        <w:t xml:space="preserve">broad priority areas </w:t>
      </w:r>
      <w:r w:rsidRPr="00DE066E">
        <w:rPr>
          <w:sz w:val="24"/>
          <w:szCs w:val="24"/>
        </w:rPr>
        <w:t>for consideration</w:t>
      </w:r>
      <w:r w:rsidR="00605D96" w:rsidRPr="00DE066E">
        <w:rPr>
          <w:sz w:val="24"/>
          <w:szCs w:val="24"/>
        </w:rPr>
        <w:t xml:space="preserve"> during the </w:t>
      </w:r>
      <w:r>
        <w:rPr>
          <w:sz w:val="24"/>
          <w:szCs w:val="24"/>
        </w:rPr>
        <w:t xml:space="preserve">2015/16 </w:t>
      </w:r>
      <w:r w:rsidR="00605D96" w:rsidRPr="00DE066E">
        <w:rPr>
          <w:sz w:val="24"/>
          <w:szCs w:val="24"/>
        </w:rPr>
        <w:t xml:space="preserve">planning and budgeting process. SWGs are expected to discuss how these priorities were considered in both planning and budgeting. </w:t>
      </w:r>
    </w:p>
    <w:p w:rsidR="00605D96" w:rsidRPr="00DE066E" w:rsidRDefault="00605D96" w:rsidP="00605D96">
      <w:pPr>
        <w:pStyle w:val="CommentText"/>
        <w:ind w:left="360"/>
        <w:jc w:val="both"/>
        <w:rPr>
          <w:sz w:val="24"/>
          <w:szCs w:val="24"/>
        </w:rPr>
      </w:pPr>
    </w:p>
    <w:p w:rsidR="00605D96" w:rsidRPr="00DE066E" w:rsidRDefault="00605D96" w:rsidP="00605D96">
      <w:pPr>
        <w:pStyle w:val="CommentText"/>
        <w:numPr>
          <w:ilvl w:val="0"/>
          <w:numId w:val="22"/>
        </w:numPr>
        <w:jc w:val="both"/>
        <w:rPr>
          <w:sz w:val="24"/>
          <w:szCs w:val="24"/>
        </w:rPr>
      </w:pPr>
      <w:r w:rsidRPr="00DE066E">
        <w:rPr>
          <w:sz w:val="24"/>
          <w:szCs w:val="24"/>
        </w:rPr>
        <w:t>Resource allocation should be discussed linking selected priorities to</w:t>
      </w:r>
      <w:r w:rsidR="001B3C62">
        <w:rPr>
          <w:sz w:val="24"/>
          <w:szCs w:val="24"/>
        </w:rPr>
        <w:t xml:space="preserve"> budget allocations including</w:t>
      </w:r>
      <w:r w:rsidR="00EF53DB">
        <w:rPr>
          <w:sz w:val="24"/>
          <w:szCs w:val="24"/>
        </w:rPr>
        <w:t>; programme and sub-</w:t>
      </w:r>
      <w:r w:rsidRPr="00DE066E">
        <w:rPr>
          <w:sz w:val="24"/>
          <w:szCs w:val="24"/>
        </w:rPr>
        <w:t>programme</w:t>
      </w:r>
      <w:r w:rsidR="00EF53DB">
        <w:rPr>
          <w:sz w:val="24"/>
          <w:szCs w:val="24"/>
        </w:rPr>
        <w:t>s</w:t>
      </w:r>
      <w:r w:rsidRPr="00DE066E">
        <w:rPr>
          <w:sz w:val="24"/>
          <w:szCs w:val="24"/>
        </w:rPr>
        <w:t xml:space="preserve">. Refer to </w:t>
      </w:r>
      <w:r w:rsidR="003663EC" w:rsidRPr="003663EC">
        <w:rPr>
          <w:b/>
          <w:sz w:val="24"/>
          <w:szCs w:val="24"/>
        </w:rPr>
        <w:t>Annex.</w:t>
      </w:r>
      <w:r w:rsidR="003663EC">
        <w:rPr>
          <w:b/>
          <w:sz w:val="24"/>
          <w:szCs w:val="24"/>
        </w:rPr>
        <w:t>1</w:t>
      </w:r>
      <w:r w:rsidRPr="003663EC">
        <w:rPr>
          <w:b/>
          <w:sz w:val="24"/>
          <w:szCs w:val="24"/>
        </w:rPr>
        <w:t xml:space="preserve"> </w:t>
      </w:r>
      <w:r w:rsidRPr="00DE066E">
        <w:rPr>
          <w:sz w:val="24"/>
          <w:szCs w:val="24"/>
        </w:rPr>
        <w:t>for Sector priorities and Resource allocations.</w:t>
      </w:r>
      <w:r w:rsidR="00F9101A" w:rsidRPr="00DE066E">
        <w:rPr>
          <w:sz w:val="24"/>
          <w:szCs w:val="24"/>
        </w:rPr>
        <w:t xml:space="preserve"> MINECOFIN will provide SWGs with the budget figures already entered in the IFMIS for </w:t>
      </w:r>
      <w:r w:rsidR="003663EC">
        <w:rPr>
          <w:sz w:val="24"/>
          <w:szCs w:val="24"/>
        </w:rPr>
        <w:t xml:space="preserve">easy </w:t>
      </w:r>
      <w:r w:rsidR="00F9101A" w:rsidRPr="00DE066E">
        <w:rPr>
          <w:sz w:val="24"/>
          <w:szCs w:val="24"/>
        </w:rPr>
        <w:t xml:space="preserve">preparation of the reviews. </w:t>
      </w:r>
    </w:p>
    <w:p w:rsidR="00605D96" w:rsidRPr="00DE066E" w:rsidRDefault="00605D96" w:rsidP="00605D96">
      <w:pPr>
        <w:pStyle w:val="CommentText"/>
        <w:ind w:left="360"/>
        <w:jc w:val="both"/>
        <w:rPr>
          <w:sz w:val="24"/>
          <w:szCs w:val="24"/>
        </w:rPr>
      </w:pPr>
    </w:p>
    <w:p w:rsidR="00605D96" w:rsidRPr="00DE066E" w:rsidRDefault="00605D96" w:rsidP="00605D96">
      <w:pPr>
        <w:pStyle w:val="CommentText"/>
        <w:numPr>
          <w:ilvl w:val="0"/>
          <w:numId w:val="22"/>
        </w:numPr>
        <w:jc w:val="both"/>
        <w:rPr>
          <w:sz w:val="24"/>
          <w:szCs w:val="24"/>
        </w:rPr>
      </w:pPr>
      <w:r w:rsidRPr="00DE066E">
        <w:rPr>
          <w:sz w:val="24"/>
          <w:szCs w:val="24"/>
        </w:rPr>
        <w:t>A brief narrative of the underlying assumptions</w:t>
      </w:r>
      <w:r w:rsidRPr="00DE066E">
        <w:rPr>
          <w:rStyle w:val="FootnoteReference"/>
          <w:sz w:val="24"/>
          <w:szCs w:val="24"/>
        </w:rPr>
        <w:footnoteReference w:id="1"/>
      </w:r>
      <w:r w:rsidRPr="00DE066E">
        <w:rPr>
          <w:sz w:val="24"/>
          <w:szCs w:val="24"/>
        </w:rPr>
        <w:t xml:space="preserve"> for resource allocation should also be highlighted</w:t>
      </w:r>
      <w:r w:rsidR="00F430FF" w:rsidRPr="00DE066E">
        <w:rPr>
          <w:sz w:val="24"/>
          <w:szCs w:val="24"/>
        </w:rPr>
        <w:t xml:space="preserve"> in the working documents</w:t>
      </w:r>
      <w:r w:rsidRPr="00DE066E">
        <w:rPr>
          <w:sz w:val="24"/>
          <w:szCs w:val="24"/>
        </w:rPr>
        <w:t>.</w:t>
      </w:r>
    </w:p>
    <w:p w:rsidR="00605D96" w:rsidRPr="00DE066E" w:rsidRDefault="00605D96" w:rsidP="00605D96">
      <w:pPr>
        <w:pStyle w:val="CommentText"/>
        <w:ind w:left="360"/>
        <w:jc w:val="both"/>
        <w:rPr>
          <w:sz w:val="24"/>
          <w:szCs w:val="24"/>
        </w:rPr>
      </w:pPr>
    </w:p>
    <w:p w:rsidR="00605D96" w:rsidRPr="00DE066E" w:rsidRDefault="00605D96" w:rsidP="00605D96">
      <w:pPr>
        <w:pStyle w:val="CommentText"/>
        <w:ind w:left="360"/>
        <w:jc w:val="both"/>
        <w:rPr>
          <w:sz w:val="24"/>
          <w:szCs w:val="24"/>
        </w:rPr>
      </w:pPr>
    </w:p>
    <w:p w:rsidR="002148BC" w:rsidRPr="00DE066E" w:rsidRDefault="002148BC" w:rsidP="002148BC">
      <w:pPr>
        <w:widowControl w:val="0"/>
        <w:numPr>
          <w:ilvl w:val="0"/>
          <w:numId w:val="5"/>
        </w:numPr>
        <w:shd w:val="clear" w:color="auto" w:fill="FFFFFF"/>
        <w:spacing w:after="200"/>
        <w:jc w:val="both"/>
        <w:rPr>
          <w:u w:val="single"/>
        </w:rPr>
      </w:pPr>
      <w:r w:rsidRPr="00DE066E">
        <w:rPr>
          <w:u w:val="single"/>
        </w:rPr>
        <w:t xml:space="preserve">To discuss and validate the 2015/16 sector targets and related policy actions </w:t>
      </w:r>
    </w:p>
    <w:p w:rsidR="002148BC" w:rsidRPr="00DE066E" w:rsidRDefault="002148BC" w:rsidP="00A6432A">
      <w:pPr>
        <w:widowControl w:val="0"/>
        <w:numPr>
          <w:ilvl w:val="0"/>
          <w:numId w:val="14"/>
        </w:numPr>
        <w:shd w:val="clear" w:color="auto" w:fill="FFFFFF"/>
        <w:spacing w:after="200" w:line="276" w:lineRule="auto"/>
        <w:jc w:val="both"/>
      </w:pPr>
      <w:r w:rsidRPr="00DE066E">
        <w:t xml:space="preserve">Each SWG is expected to provide the indicators, targets and policy actions that will form the basis for sector monitoring in 2015/16. These are to be provided in the Sector indicator Matrix </w:t>
      </w:r>
      <w:r w:rsidR="003663EC" w:rsidRPr="003663EC">
        <w:rPr>
          <w:b/>
        </w:rPr>
        <w:t>(A</w:t>
      </w:r>
      <w:r w:rsidRPr="003663EC">
        <w:rPr>
          <w:b/>
        </w:rPr>
        <w:t>nnex</w:t>
      </w:r>
      <w:r w:rsidR="003663EC" w:rsidRPr="003663EC">
        <w:rPr>
          <w:b/>
        </w:rPr>
        <w:t>.2</w:t>
      </w:r>
      <w:r w:rsidRPr="003663EC">
        <w:rPr>
          <w:b/>
        </w:rPr>
        <w:t>)</w:t>
      </w:r>
    </w:p>
    <w:p w:rsidR="002148BC" w:rsidRPr="00DE066E" w:rsidRDefault="002148BC" w:rsidP="00A6432A">
      <w:pPr>
        <w:widowControl w:val="0"/>
        <w:numPr>
          <w:ilvl w:val="0"/>
          <w:numId w:val="14"/>
        </w:numPr>
        <w:shd w:val="clear" w:color="auto" w:fill="FFFFFF"/>
        <w:spacing w:after="200" w:line="276" w:lineRule="auto"/>
        <w:jc w:val="both"/>
      </w:pPr>
      <w:r w:rsidRPr="00DE066E">
        <w:t xml:space="preserve">The Sector indicator matrix includes; indicators, targets and policy actions drawn from the </w:t>
      </w:r>
      <w:r w:rsidRPr="00DE066E">
        <w:lastRenderedPageBreak/>
        <w:t>EDPRS Core Indicator Matrix</w:t>
      </w:r>
      <w:r w:rsidR="00821211">
        <w:t xml:space="preserve"> </w:t>
      </w:r>
      <w:r w:rsidR="00821211" w:rsidRPr="00821211">
        <w:rPr>
          <w:b/>
        </w:rPr>
        <w:t>(Annex.3)</w:t>
      </w:r>
      <w:r w:rsidRPr="00821211">
        <w:rPr>
          <w:b/>
        </w:rPr>
        <w:t xml:space="preserve"> </w:t>
      </w:r>
      <w:r w:rsidRPr="00DE066E">
        <w:t>at National level relating to the sector</w:t>
      </w:r>
    </w:p>
    <w:p w:rsidR="00F9101A" w:rsidRPr="00DE066E" w:rsidRDefault="00951564" w:rsidP="00A6432A">
      <w:pPr>
        <w:widowControl w:val="0"/>
        <w:numPr>
          <w:ilvl w:val="0"/>
          <w:numId w:val="14"/>
        </w:numPr>
        <w:shd w:val="clear" w:color="auto" w:fill="FFFFFF"/>
        <w:spacing w:after="200" w:line="276" w:lineRule="auto"/>
        <w:jc w:val="both"/>
      </w:pPr>
      <w:r>
        <w:t xml:space="preserve">The </w:t>
      </w:r>
      <w:proofErr w:type="gramStart"/>
      <w:r>
        <w:t>number</w:t>
      </w:r>
      <w:proofErr w:type="gramEnd"/>
      <w:r w:rsidR="00F9101A" w:rsidRPr="00DE066E">
        <w:t xml:space="preserve"> of indicators </w:t>
      </w:r>
      <w:r w:rsidR="00413632">
        <w:t xml:space="preserve">that are </w:t>
      </w:r>
      <w:r w:rsidR="00F9101A" w:rsidRPr="00DE066E">
        <w:t>required for the purpose of the joint sector review</w:t>
      </w:r>
      <w:r w:rsidR="00413632">
        <w:t>s</w:t>
      </w:r>
      <w:r w:rsidR="00F9101A" w:rsidRPr="00DE066E">
        <w:t xml:space="preserve"> are ten (10). However, </w:t>
      </w:r>
      <w:r w:rsidR="00EF53DB">
        <w:t xml:space="preserve">some </w:t>
      </w:r>
      <w:r w:rsidR="00F9101A" w:rsidRPr="00DE066E">
        <w:t>SWGs may wish to extend monitoring to more than 10 indicators depending on the</w:t>
      </w:r>
      <w:r w:rsidR="00EF53DB">
        <w:t>ir specific needs and capacity</w:t>
      </w:r>
      <w:r w:rsidR="00F9101A" w:rsidRPr="00DE066E">
        <w:t xml:space="preserve"> to effectively monitor more indicators. MINECOFIN planning department should be consulted </w:t>
      </w:r>
      <w:r w:rsidR="00EF53DB">
        <w:t xml:space="preserve">in such cases. </w:t>
      </w:r>
    </w:p>
    <w:p w:rsidR="00F9101A" w:rsidRPr="00DE066E" w:rsidRDefault="002148BC" w:rsidP="002148BC">
      <w:pPr>
        <w:widowControl w:val="0"/>
        <w:numPr>
          <w:ilvl w:val="0"/>
          <w:numId w:val="14"/>
        </w:numPr>
        <w:shd w:val="clear" w:color="auto" w:fill="FFFFFF"/>
        <w:spacing w:after="200" w:line="276" w:lineRule="auto"/>
        <w:jc w:val="both"/>
      </w:pPr>
      <w:r w:rsidRPr="00DE066E">
        <w:t xml:space="preserve">Each Indicator should not exceed two (2) policy actions that are strategic in nature. </w:t>
      </w:r>
    </w:p>
    <w:p w:rsidR="002148BC" w:rsidRPr="00DE066E" w:rsidRDefault="002148BC" w:rsidP="002148BC">
      <w:pPr>
        <w:widowControl w:val="0"/>
        <w:numPr>
          <w:ilvl w:val="0"/>
          <w:numId w:val="14"/>
        </w:numPr>
        <w:shd w:val="clear" w:color="auto" w:fill="FFFFFF"/>
        <w:spacing w:after="200" w:line="276" w:lineRule="auto"/>
        <w:jc w:val="both"/>
      </w:pPr>
      <w:r w:rsidRPr="00DE066E">
        <w:t>Both policy actions and indicators should be SMART (specific, measurable,</w:t>
      </w:r>
      <w:r w:rsidR="00EF53DB">
        <w:t xml:space="preserve"> achievable, realistic and time-</w:t>
      </w:r>
      <w:r w:rsidRPr="00DE066E">
        <w:t>bound)</w:t>
      </w:r>
    </w:p>
    <w:p w:rsidR="000015CA" w:rsidRPr="00DE066E" w:rsidRDefault="00DA32A2" w:rsidP="000015CA">
      <w:pPr>
        <w:widowControl w:val="0"/>
        <w:pBdr>
          <w:top w:val="single" w:sz="4" w:space="1" w:color="auto"/>
          <w:left w:val="single" w:sz="4" w:space="16" w:color="auto"/>
          <w:bottom w:val="single" w:sz="4" w:space="1" w:color="auto"/>
          <w:right w:val="single" w:sz="4" w:space="4" w:color="auto"/>
        </w:pBdr>
        <w:shd w:val="clear" w:color="auto" w:fill="EAF1DD"/>
        <w:ind w:left="540"/>
        <w:jc w:val="both"/>
        <w:rPr>
          <w:b/>
        </w:rPr>
      </w:pPr>
      <w:r w:rsidRPr="00DE066E">
        <w:rPr>
          <w:b/>
        </w:rPr>
        <w:t xml:space="preserve">Note: </w:t>
      </w:r>
    </w:p>
    <w:p w:rsidR="000015CA" w:rsidRPr="00DE066E" w:rsidRDefault="00C666BA" w:rsidP="000015CA">
      <w:pPr>
        <w:widowControl w:val="0"/>
        <w:pBdr>
          <w:top w:val="single" w:sz="4" w:space="1" w:color="auto"/>
          <w:left w:val="single" w:sz="4" w:space="16" w:color="auto"/>
          <w:bottom w:val="single" w:sz="4" w:space="1" w:color="auto"/>
          <w:right w:val="single" w:sz="4" w:space="4" w:color="auto"/>
        </w:pBdr>
        <w:shd w:val="clear" w:color="auto" w:fill="EAF1DD"/>
        <w:ind w:left="540"/>
        <w:jc w:val="both"/>
      </w:pPr>
      <w:r w:rsidRPr="00DE066E">
        <w:t xml:space="preserve">In the 2013/14 JSRs a maximum of </w:t>
      </w:r>
      <w:r w:rsidR="000015CA" w:rsidRPr="00DE066E">
        <w:t>ten (</w:t>
      </w:r>
      <w:r w:rsidRPr="00DE066E">
        <w:t>10</w:t>
      </w:r>
      <w:r w:rsidR="000015CA" w:rsidRPr="00DE066E">
        <w:t>)</w:t>
      </w:r>
      <w:r w:rsidRPr="00DE066E">
        <w:t xml:space="preserve"> indicators and associated policy actions were id</w:t>
      </w:r>
      <w:r w:rsidR="007561C0" w:rsidRPr="00DE066E">
        <w:t>entified for regular monitoring</w:t>
      </w:r>
      <w:r w:rsidR="00DA32A2" w:rsidRPr="00DE066E">
        <w:t xml:space="preserve"> of EDPRS</w:t>
      </w:r>
      <w:r w:rsidR="002148BC" w:rsidRPr="00DE066E">
        <w:t xml:space="preserve"> 2 implementation. </w:t>
      </w:r>
    </w:p>
    <w:p w:rsidR="00DA32A2" w:rsidRPr="00DE066E" w:rsidRDefault="00DA32A2" w:rsidP="000015CA">
      <w:pPr>
        <w:widowControl w:val="0"/>
        <w:pBdr>
          <w:top w:val="single" w:sz="4" w:space="1" w:color="auto"/>
          <w:left w:val="single" w:sz="4" w:space="16" w:color="auto"/>
          <w:bottom w:val="single" w:sz="4" w:space="1" w:color="auto"/>
          <w:right w:val="single" w:sz="4" w:space="4" w:color="auto"/>
        </w:pBdr>
        <w:shd w:val="clear" w:color="auto" w:fill="EAF1DD"/>
        <w:ind w:left="540"/>
        <w:jc w:val="both"/>
      </w:pPr>
      <w:r w:rsidRPr="00DE066E">
        <w:t xml:space="preserve"> </w:t>
      </w:r>
    </w:p>
    <w:p w:rsidR="00DA32A2" w:rsidRPr="00DE066E" w:rsidRDefault="00DA32A2" w:rsidP="007E0C42">
      <w:pPr>
        <w:widowControl w:val="0"/>
        <w:pBdr>
          <w:top w:val="single" w:sz="4" w:space="1" w:color="auto"/>
          <w:left w:val="single" w:sz="4" w:space="16" w:color="auto"/>
          <w:bottom w:val="single" w:sz="4" w:space="1" w:color="auto"/>
          <w:right w:val="single" w:sz="4" w:space="4" w:color="auto"/>
        </w:pBdr>
        <w:shd w:val="clear" w:color="auto" w:fill="EAF1DD"/>
        <w:spacing w:after="200" w:line="276" w:lineRule="auto"/>
        <w:ind w:left="540"/>
        <w:jc w:val="both"/>
      </w:pPr>
      <w:r w:rsidRPr="00DE066E">
        <w:t xml:space="preserve">Effort should be made to ensure consistency by simply updating the targets in the SSP Matrix </w:t>
      </w:r>
      <w:r w:rsidR="00915903" w:rsidRPr="00DE066E">
        <w:t xml:space="preserve">related to those indicators </w:t>
      </w:r>
      <w:r w:rsidRPr="00DE066E">
        <w:t>a</w:t>
      </w:r>
      <w:r w:rsidR="00915903" w:rsidRPr="00DE066E">
        <w:t>s well as deciding on the strategic policy actions in line with the recently concluded planning and budget consultations.</w:t>
      </w:r>
      <w:r w:rsidRPr="00DE066E">
        <w:t xml:space="preserve"> </w:t>
      </w:r>
    </w:p>
    <w:p w:rsidR="00915903" w:rsidRPr="00DE066E" w:rsidRDefault="00915903" w:rsidP="007E0C42">
      <w:pPr>
        <w:widowControl w:val="0"/>
        <w:pBdr>
          <w:top w:val="single" w:sz="4" w:space="1" w:color="auto"/>
          <w:left w:val="single" w:sz="4" w:space="16" w:color="auto"/>
          <w:bottom w:val="single" w:sz="4" w:space="1" w:color="auto"/>
          <w:right w:val="single" w:sz="4" w:space="4" w:color="auto"/>
        </w:pBdr>
        <w:shd w:val="clear" w:color="auto" w:fill="EAF1DD"/>
        <w:spacing w:after="200" w:line="276" w:lineRule="auto"/>
        <w:ind w:left="540"/>
        <w:jc w:val="both"/>
      </w:pPr>
      <w:r w:rsidRPr="00DE066E">
        <w:t xml:space="preserve">In situations where sectors </w:t>
      </w:r>
      <w:r w:rsidR="000015CA" w:rsidRPr="00DE066E">
        <w:t xml:space="preserve">have revised their SSP Monitoring </w:t>
      </w:r>
      <w:r w:rsidR="003B50F8" w:rsidRPr="00DE066E">
        <w:t>Matrices leading</w:t>
      </w:r>
      <w:r w:rsidRPr="00DE066E">
        <w:t xml:space="preserve"> to changes in any of the ten selected </w:t>
      </w:r>
      <w:r w:rsidR="007E0C42" w:rsidRPr="00DE066E">
        <w:t>indicators</w:t>
      </w:r>
      <w:r w:rsidRPr="00DE066E">
        <w:t xml:space="preserve"> mentioned </w:t>
      </w:r>
      <w:r w:rsidR="00FC064E" w:rsidRPr="00DE066E">
        <w:t>above, this</w:t>
      </w:r>
      <w:r w:rsidR="007E0C42" w:rsidRPr="00DE066E">
        <w:t xml:space="preserve"> should be brou</w:t>
      </w:r>
      <w:r w:rsidRPr="00DE066E">
        <w:t>ght to t</w:t>
      </w:r>
      <w:r w:rsidR="007E0C42" w:rsidRPr="00DE066E">
        <w:t>he attention of MINECOFIN and t</w:t>
      </w:r>
      <w:r w:rsidRPr="00DE066E">
        <w:t>he JSR should be the opportunity to validate such indicators and ensure consistent monitoring going forward rather than freque</w:t>
      </w:r>
      <w:r w:rsidR="007E0C42" w:rsidRPr="00DE066E">
        <w:t>nt change of indi</w:t>
      </w:r>
      <w:r w:rsidRPr="00DE066E">
        <w:t>cators</w:t>
      </w:r>
    </w:p>
    <w:p w:rsidR="00F430FF" w:rsidRPr="00DE066E" w:rsidRDefault="00FC064E" w:rsidP="007E0C42">
      <w:pPr>
        <w:widowControl w:val="0"/>
        <w:pBdr>
          <w:top w:val="single" w:sz="4" w:space="1" w:color="auto"/>
          <w:left w:val="single" w:sz="4" w:space="16" w:color="auto"/>
          <w:bottom w:val="single" w:sz="4" w:space="1" w:color="auto"/>
          <w:right w:val="single" w:sz="4" w:space="4" w:color="auto"/>
        </w:pBdr>
        <w:shd w:val="clear" w:color="auto" w:fill="EAF1DD"/>
        <w:spacing w:after="200" w:line="276" w:lineRule="auto"/>
        <w:ind w:left="540"/>
        <w:jc w:val="both"/>
      </w:pPr>
      <w:r w:rsidRPr="00DE066E">
        <w:t>The proposed outputs, targets and policy actions are to be the same as the ones agreed upon during the planning</w:t>
      </w:r>
      <w:r w:rsidR="00F430FF" w:rsidRPr="00DE066E">
        <w:t xml:space="preserve"> and budgeting</w:t>
      </w:r>
      <w:r w:rsidRPr="00DE066E">
        <w:t xml:space="preserve"> c</w:t>
      </w:r>
      <w:r w:rsidR="00F430FF" w:rsidRPr="00DE066E">
        <w:t xml:space="preserve">onsultations. </w:t>
      </w:r>
    </w:p>
    <w:p w:rsidR="001F38F6" w:rsidRPr="00DE066E" w:rsidRDefault="00F430FF" w:rsidP="001F38F6">
      <w:pPr>
        <w:widowControl w:val="0"/>
        <w:pBdr>
          <w:top w:val="single" w:sz="4" w:space="1" w:color="auto"/>
          <w:left w:val="single" w:sz="4" w:space="16" w:color="auto"/>
          <w:bottom w:val="single" w:sz="4" w:space="1" w:color="auto"/>
          <w:right w:val="single" w:sz="4" w:space="4" w:color="auto"/>
        </w:pBdr>
        <w:shd w:val="clear" w:color="auto" w:fill="EAF1DD"/>
        <w:spacing w:after="200" w:line="276" w:lineRule="auto"/>
        <w:ind w:left="540"/>
        <w:jc w:val="both"/>
      </w:pPr>
      <w:r w:rsidRPr="00DE066E">
        <w:t xml:space="preserve">Where new data may be provided after the publication of the EICV 4 and related surveys, </w:t>
      </w:r>
      <w:r w:rsidR="00450513" w:rsidRPr="00DE066E">
        <w:t xml:space="preserve">this should be brought to the attention of MINECOFIN before new targets are set. </w:t>
      </w:r>
    </w:p>
    <w:p w:rsidR="001F38F6" w:rsidRPr="00DE066E" w:rsidRDefault="001F38F6" w:rsidP="001F38F6">
      <w:pPr>
        <w:widowControl w:val="0"/>
        <w:shd w:val="clear" w:color="auto" w:fill="FFFFFF"/>
        <w:spacing w:after="200" w:line="276" w:lineRule="auto"/>
        <w:ind w:left="360"/>
        <w:jc w:val="both"/>
        <w:rPr>
          <w:u w:val="single"/>
        </w:rPr>
      </w:pPr>
    </w:p>
    <w:p w:rsidR="001F38F6" w:rsidRPr="00DE066E" w:rsidRDefault="001F38F6" w:rsidP="001F38F6">
      <w:pPr>
        <w:widowControl w:val="0"/>
        <w:numPr>
          <w:ilvl w:val="0"/>
          <w:numId w:val="5"/>
        </w:numPr>
        <w:shd w:val="clear" w:color="auto" w:fill="FFFFFF"/>
        <w:spacing w:after="200" w:line="276" w:lineRule="auto"/>
        <w:jc w:val="both"/>
        <w:rPr>
          <w:u w:val="single"/>
        </w:rPr>
      </w:pPr>
      <w:r w:rsidRPr="00DE066E">
        <w:rPr>
          <w:u w:val="single"/>
        </w:rPr>
        <w:t xml:space="preserve">To select policy-related studies to be conducted in  2015/16 fiscal year and briefly report progress on 2014/15 analytical works </w:t>
      </w:r>
    </w:p>
    <w:p w:rsidR="001F38F6" w:rsidRPr="00DE066E" w:rsidRDefault="001F38F6" w:rsidP="001F38F6">
      <w:pPr>
        <w:widowControl w:val="0"/>
        <w:numPr>
          <w:ilvl w:val="0"/>
          <w:numId w:val="12"/>
        </w:numPr>
        <w:shd w:val="clear" w:color="auto" w:fill="FFFFFF"/>
        <w:spacing w:after="200" w:line="276" w:lineRule="auto"/>
        <w:jc w:val="both"/>
      </w:pPr>
      <w:r w:rsidRPr="00DE066E">
        <w:t>With reference to sector's annual Work Plan for analytical studies, the sector should identify analytical studies to be undertaken in support of effective delivery of EDPRS 2. These should be linked to the sector outcomes. Discussion should include how the findings will be used, the challenges in use of evidence in previou</w:t>
      </w:r>
      <w:r w:rsidR="00EF53DB">
        <w:t>s studies undertaken and how the</w:t>
      </w:r>
      <w:r w:rsidRPr="00DE066E">
        <w:t>s</w:t>
      </w:r>
      <w:r w:rsidR="00EF53DB">
        <w:t>e</w:t>
      </w:r>
      <w:r w:rsidRPr="00DE066E">
        <w:t xml:space="preserve"> will be addressed.</w:t>
      </w:r>
    </w:p>
    <w:p w:rsidR="001F38F6" w:rsidRPr="00DE066E" w:rsidRDefault="001F38F6" w:rsidP="001F38F6">
      <w:pPr>
        <w:widowControl w:val="0"/>
        <w:numPr>
          <w:ilvl w:val="0"/>
          <w:numId w:val="12"/>
        </w:numPr>
        <w:shd w:val="clear" w:color="auto" w:fill="FFFFFF"/>
        <w:spacing w:after="200" w:line="276" w:lineRule="auto"/>
        <w:jc w:val="both"/>
      </w:pPr>
      <w:r w:rsidRPr="00DE066E">
        <w:t xml:space="preserve">Policy related analytical work comprise of: policy research, evaluations, pilots and studies. The SWG may agree on funding modalities for these if not covered in the government budget. (Using </w:t>
      </w:r>
      <w:r w:rsidRPr="00821211">
        <w:rPr>
          <w:b/>
        </w:rPr>
        <w:t xml:space="preserve">Annex </w:t>
      </w:r>
      <w:r w:rsidR="00821211" w:rsidRPr="00821211">
        <w:rPr>
          <w:b/>
        </w:rPr>
        <w:t>4</w:t>
      </w:r>
      <w:r w:rsidRPr="00DE066E">
        <w:t xml:space="preserve"> Priority Analytical Studies for 2015/16)</w:t>
      </w:r>
    </w:p>
    <w:p w:rsidR="001F38F6" w:rsidRPr="00917D28" w:rsidRDefault="001F38F6" w:rsidP="001F38F6">
      <w:pPr>
        <w:widowControl w:val="0"/>
        <w:numPr>
          <w:ilvl w:val="0"/>
          <w:numId w:val="12"/>
        </w:numPr>
        <w:shd w:val="clear" w:color="auto" w:fill="FFFFFF"/>
        <w:spacing w:after="200" w:line="276" w:lineRule="auto"/>
        <w:jc w:val="both"/>
        <w:rPr>
          <w:b/>
        </w:rPr>
      </w:pPr>
      <w:r w:rsidRPr="00DE066E">
        <w:lastRenderedPageBreak/>
        <w:t>Also a summary of progress on 2014/15 analytical works should be provided to keep all stakeholders updated on the progress or challenges encountered and also determine which works may be carried over to 2015/16</w:t>
      </w:r>
      <w:r w:rsidR="00917D28">
        <w:t xml:space="preserve"> </w:t>
      </w:r>
      <w:r w:rsidR="00917D28" w:rsidRPr="00917D28">
        <w:rPr>
          <w:b/>
        </w:rPr>
        <w:t>(use annex 5)</w:t>
      </w:r>
    </w:p>
    <w:p w:rsidR="004F546C" w:rsidRPr="00DE066E" w:rsidRDefault="004F546C" w:rsidP="00CA7477">
      <w:pPr>
        <w:pStyle w:val="CommentText"/>
        <w:jc w:val="both"/>
        <w:rPr>
          <w:sz w:val="24"/>
          <w:szCs w:val="24"/>
        </w:rPr>
      </w:pPr>
    </w:p>
    <w:p w:rsidR="0070509C" w:rsidRPr="00DE066E" w:rsidRDefault="0070509C" w:rsidP="0070509C">
      <w:pPr>
        <w:pStyle w:val="CommentText"/>
        <w:numPr>
          <w:ilvl w:val="0"/>
          <w:numId w:val="5"/>
        </w:numPr>
        <w:rPr>
          <w:sz w:val="24"/>
          <w:szCs w:val="24"/>
          <w:u w:val="single"/>
        </w:rPr>
      </w:pPr>
      <w:r w:rsidRPr="00DE066E">
        <w:rPr>
          <w:sz w:val="24"/>
          <w:szCs w:val="24"/>
          <w:u w:val="single"/>
        </w:rPr>
        <w:t xml:space="preserve">To assess progress towards </w:t>
      </w:r>
      <w:r w:rsidR="00E0502B" w:rsidRPr="00DE066E">
        <w:rPr>
          <w:sz w:val="24"/>
          <w:szCs w:val="24"/>
          <w:u w:val="single"/>
        </w:rPr>
        <w:t xml:space="preserve">implementation of </w:t>
      </w:r>
      <w:r w:rsidRPr="00DE066E">
        <w:rPr>
          <w:sz w:val="24"/>
          <w:szCs w:val="24"/>
          <w:u w:val="single"/>
        </w:rPr>
        <w:t xml:space="preserve">the 2014/15 policy actions in the </w:t>
      </w:r>
      <w:r w:rsidR="0053038E" w:rsidRPr="00DE066E">
        <w:rPr>
          <w:sz w:val="24"/>
          <w:szCs w:val="24"/>
          <w:u w:val="single"/>
        </w:rPr>
        <w:t xml:space="preserve">sector matrix (includes EDPRS 2 core indicator matrix) </w:t>
      </w:r>
    </w:p>
    <w:p w:rsidR="00763C67" w:rsidRPr="00DE066E" w:rsidRDefault="00763C67" w:rsidP="00763C67">
      <w:pPr>
        <w:pStyle w:val="CommentText"/>
        <w:rPr>
          <w:sz w:val="24"/>
          <w:szCs w:val="24"/>
        </w:rPr>
      </w:pPr>
    </w:p>
    <w:p w:rsidR="008E00EB" w:rsidRPr="00DE066E" w:rsidRDefault="00763C67" w:rsidP="00FA71E8">
      <w:pPr>
        <w:pStyle w:val="CommentText"/>
        <w:numPr>
          <w:ilvl w:val="0"/>
          <w:numId w:val="15"/>
        </w:numPr>
        <w:spacing w:line="276" w:lineRule="auto"/>
        <w:rPr>
          <w:sz w:val="24"/>
          <w:szCs w:val="24"/>
        </w:rPr>
      </w:pPr>
      <w:r w:rsidRPr="00DE066E">
        <w:rPr>
          <w:sz w:val="24"/>
          <w:szCs w:val="24"/>
        </w:rPr>
        <w:t xml:space="preserve">A </w:t>
      </w:r>
      <w:r w:rsidR="00685539" w:rsidRPr="00DE066E">
        <w:rPr>
          <w:sz w:val="24"/>
          <w:szCs w:val="24"/>
        </w:rPr>
        <w:t xml:space="preserve"> brief </w:t>
      </w:r>
      <w:r w:rsidR="008E00EB" w:rsidRPr="00DE066E">
        <w:rPr>
          <w:sz w:val="24"/>
          <w:szCs w:val="24"/>
        </w:rPr>
        <w:t>description of</w:t>
      </w:r>
      <w:r w:rsidR="0077636F" w:rsidRPr="00DE066E">
        <w:rPr>
          <w:sz w:val="24"/>
          <w:szCs w:val="24"/>
        </w:rPr>
        <w:t xml:space="preserve"> the p</w:t>
      </w:r>
      <w:r w:rsidR="008E00EB" w:rsidRPr="00DE066E">
        <w:rPr>
          <w:sz w:val="24"/>
          <w:szCs w:val="24"/>
        </w:rPr>
        <w:t xml:space="preserve">rogress  against 2014/15 </w:t>
      </w:r>
      <w:r w:rsidRPr="00DE066E">
        <w:rPr>
          <w:sz w:val="24"/>
          <w:szCs w:val="24"/>
        </w:rPr>
        <w:t xml:space="preserve">policy actions </w:t>
      </w:r>
    </w:p>
    <w:p w:rsidR="00763C67" w:rsidRPr="00DE066E" w:rsidRDefault="0077636F" w:rsidP="00763C67">
      <w:pPr>
        <w:pStyle w:val="CommentText"/>
        <w:numPr>
          <w:ilvl w:val="0"/>
          <w:numId w:val="15"/>
        </w:numPr>
        <w:spacing w:line="276" w:lineRule="auto"/>
        <w:rPr>
          <w:sz w:val="24"/>
          <w:szCs w:val="24"/>
        </w:rPr>
      </w:pPr>
      <w:r w:rsidRPr="00DE066E">
        <w:rPr>
          <w:sz w:val="24"/>
          <w:szCs w:val="24"/>
        </w:rPr>
        <w:t>An explanation of the implementation c</w:t>
      </w:r>
      <w:r w:rsidR="00763C67" w:rsidRPr="00DE066E">
        <w:rPr>
          <w:sz w:val="24"/>
          <w:szCs w:val="24"/>
        </w:rPr>
        <w:t xml:space="preserve">hallenges </w:t>
      </w:r>
      <w:r w:rsidR="00ED33A9" w:rsidRPr="00DE066E">
        <w:rPr>
          <w:sz w:val="24"/>
          <w:szCs w:val="24"/>
        </w:rPr>
        <w:t xml:space="preserve">where existent </w:t>
      </w:r>
      <w:r w:rsidR="00763C67" w:rsidRPr="00DE066E">
        <w:rPr>
          <w:sz w:val="24"/>
          <w:szCs w:val="24"/>
        </w:rPr>
        <w:t xml:space="preserve"> as well </w:t>
      </w:r>
      <w:r w:rsidR="00ED33A9" w:rsidRPr="00DE066E">
        <w:rPr>
          <w:sz w:val="24"/>
          <w:szCs w:val="24"/>
        </w:rPr>
        <w:t>as appropriate remedial measures</w:t>
      </w:r>
      <w:r w:rsidR="0053038E" w:rsidRPr="00DE066E">
        <w:rPr>
          <w:sz w:val="24"/>
          <w:szCs w:val="24"/>
        </w:rPr>
        <w:t xml:space="preserve"> taken or to be taken</w:t>
      </w:r>
    </w:p>
    <w:p w:rsidR="0053038E" w:rsidRPr="00DE066E" w:rsidRDefault="00F336A0" w:rsidP="0053038E">
      <w:pPr>
        <w:pStyle w:val="CommentText"/>
        <w:spacing w:line="276" w:lineRule="auto"/>
        <w:ind w:left="720"/>
        <w:rPr>
          <w:sz w:val="24"/>
          <w:szCs w:val="24"/>
        </w:rPr>
      </w:pPr>
      <w:r w:rsidRPr="00DE066E">
        <w:rPr>
          <w:sz w:val="24"/>
          <w:szCs w:val="24"/>
        </w:rPr>
        <w:t>(</w:t>
      </w:r>
      <w:r w:rsidRPr="00821211">
        <w:rPr>
          <w:b/>
          <w:sz w:val="24"/>
          <w:szCs w:val="24"/>
        </w:rPr>
        <w:t xml:space="preserve">Annex. </w:t>
      </w:r>
      <w:r w:rsidR="00917D28">
        <w:rPr>
          <w:b/>
          <w:sz w:val="24"/>
          <w:szCs w:val="24"/>
        </w:rPr>
        <w:t>6</w:t>
      </w:r>
      <w:r w:rsidRPr="00821211">
        <w:rPr>
          <w:b/>
          <w:sz w:val="24"/>
          <w:szCs w:val="24"/>
        </w:rPr>
        <w:t>:</w:t>
      </w:r>
      <w:r w:rsidRPr="00DE066E">
        <w:rPr>
          <w:sz w:val="24"/>
          <w:szCs w:val="24"/>
        </w:rPr>
        <w:t xml:space="preserve"> </w:t>
      </w:r>
      <w:r w:rsidR="00230D57" w:rsidRPr="00DE066E">
        <w:rPr>
          <w:sz w:val="24"/>
          <w:szCs w:val="24"/>
        </w:rPr>
        <w:t xml:space="preserve">Progress against </w:t>
      </w:r>
      <w:r w:rsidRPr="00DE066E">
        <w:rPr>
          <w:sz w:val="24"/>
          <w:szCs w:val="24"/>
        </w:rPr>
        <w:t>Sector Indicator Matrix</w:t>
      </w:r>
      <w:r w:rsidR="00917D28">
        <w:rPr>
          <w:sz w:val="24"/>
          <w:szCs w:val="24"/>
        </w:rPr>
        <w:t xml:space="preserve"> policy actions</w:t>
      </w:r>
      <w:r w:rsidRPr="00DE066E">
        <w:rPr>
          <w:sz w:val="24"/>
          <w:szCs w:val="24"/>
        </w:rPr>
        <w:t>)</w:t>
      </w:r>
    </w:p>
    <w:p w:rsidR="001F38F6" w:rsidRPr="00DE066E" w:rsidRDefault="001F38F6" w:rsidP="0053038E">
      <w:pPr>
        <w:pStyle w:val="CommentText"/>
        <w:spacing w:line="276" w:lineRule="auto"/>
        <w:ind w:left="720"/>
        <w:rPr>
          <w:sz w:val="24"/>
          <w:szCs w:val="24"/>
        </w:rPr>
      </w:pPr>
    </w:p>
    <w:p w:rsidR="00A32506" w:rsidRDefault="0053038E" w:rsidP="001F38F6">
      <w:pPr>
        <w:pStyle w:val="CommentText"/>
        <w:numPr>
          <w:ilvl w:val="0"/>
          <w:numId w:val="5"/>
        </w:numPr>
        <w:spacing w:line="276" w:lineRule="auto"/>
        <w:rPr>
          <w:sz w:val="24"/>
          <w:szCs w:val="24"/>
        </w:rPr>
      </w:pPr>
      <w:r w:rsidRPr="00DE066E">
        <w:rPr>
          <w:sz w:val="24"/>
          <w:szCs w:val="24"/>
        </w:rPr>
        <w:t xml:space="preserve">A brief discussion on </w:t>
      </w:r>
      <w:r w:rsidR="001F38F6" w:rsidRPr="00DE066E">
        <w:rPr>
          <w:sz w:val="24"/>
          <w:szCs w:val="24"/>
        </w:rPr>
        <w:t xml:space="preserve">the </w:t>
      </w:r>
      <w:r w:rsidRPr="00DE066E">
        <w:rPr>
          <w:sz w:val="24"/>
          <w:szCs w:val="24"/>
        </w:rPr>
        <w:t>need for a review of the Sector Strategic Plan as a whole and how this may be conducted if necessary. What proposals are there on how this may be undertaken? This will inform considerations for the EDPRS 2 mid-term review.</w:t>
      </w:r>
    </w:p>
    <w:p w:rsidR="009323C1" w:rsidRDefault="009323C1" w:rsidP="009323C1">
      <w:pPr>
        <w:pStyle w:val="CommentText"/>
        <w:spacing w:line="276" w:lineRule="auto"/>
        <w:ind w:left="360"/>
        <w:rPr>
          <w:sz w:val="24"/>
          <w:szCs w:val="24"/>
        </w:rPr>
      </w:pPr>
    </w:p>
    <w:p w:rsidR="009323C1" w:rsidRPr="00DE066E" w:rsidRDefault="009323C1" w:rsidP="001F38F6">
      <w:pPr>
        <w:pStyle w:val="CommentText"/>
        <w:numPr>
          <w:ilvl w:val="0"/>
          <w:numId w:val="5"/>
        </w:numPr>
        <w:spacing w:line="276" w:lineRule="auto"/>
        <w:rPr>
          <w:sz w:val="24"/>
          <w:szCs w:val="24"/>
        </w:rPr>
      </w:pPr>
      <w:r>
        <w:rPr>
          <w:sz w:val="24"/>
          <w:szCs w:val="24"/>
        </w:rPr>
        <w:t xml:space="preserve">A brief update is also to be provided on the </w:t>
      </w:r>
      <w:r w:rsidRPr="009323C1">
        <w:rPr>
          <w:sz w:val="24"/>
          <w:szCs w:val="24"/>
        </w:rPr>
        <w:t>follow-up of implementation of the 2012/13 OAG recommendations</w:t>
      </w:r>
    </w:p>
    <w:p w:rsidR="00A32506" w:rsidRPr="00DE066E" w:rsidRDefault="00A32506" w:rsidP="00A32506">
      <w:pPr>
        <w:pStyle w:val="CommentText"/>
        <w:spacing w:line="276" w:lineRule="auto"/>
        <w:ind w:left="720"/>
        <w:rPr>
          <w:sz w:val="24"/>
          <w:szCs w:val="24"/>
        </w:rPr>
      </w:pPr>
    </w:p>
    <w:p w:rsidR="008B1A35" w:rsidRPr="00DE066E" w:rsidRDefault="0053038E" w:rsidP="001B3C62">
      <w:pPr>
        <w:numPr>
          <w:ilvl w:val="0"/>
          <w:numId w:val="4"/>
        </w:numPr>
        <w:shd w:val="clear" w:color="auto" w:fill="FFFFFF"/>
        <w:spacing w:after="200" w:line="276" w:lineRule="auto"/>
        <w:jc w:val="both"/>
        <w:rPr>
          <w:b/>
        </w:rPr>
      </w:pPr>
      <w:r w:rsidRPr="001B3C62">
        <w:rPr>
          <w:b/>
        </w:rPr>
        <w:t xml:space="preserve"> </w:t>
      </w:r>
      <w:r w:rsidR="008B1A35" w:rsidRPr="00DE066E">
        <w:rPr>
          <w:b/>
        </w:rPr>
        <w:t>Preparation of the JSR</w:t>
      </w:r>
    </w:p>
    <w:p w:rsidR="00C70AB7" w:rsidRPr="00DE066E" w:rsidRDefault="009268BC" w:rsidP="002C0E75">
      <w:pPr>
        <w:shd w:val="clear" w:color="auto" w:fill="FFFFFF"/>
        <w:spacing w:after="200" w:line="276" w:lineRule="auto"/>
        <w:jc w:val="both"/>
      </w:pPr>
      <w:r w:rsidRPr="00DE066E">
        <w:t xml:space="preserve">SWGs </w:t>
      </w:r>
      <w:r w:rsidR="00193D5B" w:rsidRPr="00DE066E">
        <w:t xml:space="preserve">are required to plan </w:t>
      </w:r>
      <w:r w:rsidR="0064531B" w:rsidRPr="00DE066E">
        <w:t>dates for their respective JSR. Invitations and working documents should be communicated a week in advance of meetings to stakeholders</w:t>
      </w:r>
      <w:r w:rsidR="00AF3C76" w:rsidRPr="00DE066E">
        <w:t xml:space="preserve"> by the Chair (lead ministry)</w:t>
      </w:r>
      <w:r w:rsidR="0064531B" w:rsidRPr="00DE066E">
        <w:t>.</w:t>
      </w:r>
      <w:r w:rsidR="00B735ED" w:rsidRPr="00DE066E">
        <w:t xml:space="preserve"> Dates for the JSRs should be cleared with MINECOFIN Planning Department to avoid potential </w:t>
      </w:r>
      <w:r w:rsidR="001F38F6" w:rsidRPr="00DE066E">
        <w:t>scheduling conflicts</w:t>
      </w:r>
      <w:r w:rsidR="00B735ED" w:rsidRPr="00DE066E">
        <w:t xml:space="preserve"> involving similar stakeholders.</w:t>
      </w:r>
      <w:r w:rsidR="0064531B" w:rsidRPr="00DE066E">
        <w:t xml:space="preserve"> </w:t>
      </w:r>
    </w:p>
    <w:p w:rsidR="008B1A35" w:rsidRPr="00DE066E" w:rsidRDefault="008B1A35" w:rsidP="002C0E75">
      <w:pPr>
        <w:numPr>
          <w:ilvl w:val="0"/>
          <w:numId w:val="4"/>
        </w:numPr>
        <w:shd w:val="clear" w:color="auto" w:fill="FFFFFF"/>
        <w:spacing w:after="200" w:line="276" w:lineRule="auto"/>
        <w:jc w:val="both"/>
        <w:rPr>
          <w:b/>
        </w:rPr>
      </w:pPr>
      <w:r w:rsidRPr="00DE066E">
        <w:rPr>
          <w:b/>
        </w:rPr>
        <w:t>Stakeholders</w:t>
      </w:r>
      <w:r w:rsidR="00AF3C76" w:rsidRPr="00DE066E">
        <w:rPr>
          <w:b/>
        </w:rPr>
        <w:t xml:space="preserve"> to be invited</w:t>
      </w:r>
    </w:p>
    <w:p w:rsidR="008B1A35" w:rsidRPr="00DE066E" w:rsidRDefault="008B1A35" w:rsidP="001F38F6">
      <w:pPr>
        <w:numPr>
          <w:ilvl w:val="0"/>
          <w:numId w:val="26"/>
        </w:numPr>
        <w:shd w:val="clear" w:color="auto" w:fill="FFFFFF"/>
        <w:spacing w:line="276" w:lineRule="auto"/>
        <w:jc w:val="both"/>
      </w:pPr>
      <w:r w:rsidRPr="00DE066E">
        <w:t>Representatives of the Lead sector Ministry;</w:t>
      </w:r>
    </w:p>
    <w:p w:rsidR="00AF3C76" w:rsidRPr="00DE066E" w:rsidRDefault="00AF3C76" w:rsidP="001F38F6">
      <w:pPr>
        <w:numPr>
          <w:ilvl w:val="0"/>
          <w:numId w:val="26"/>
        </w:numPr>
        <w:shd w:val="clear" w:color="auto" w:fill="FFFFFF"/>
        <w:spacing w:line="276" w:lineRule="auto"/>
        <w:jc w:val="both"/>
      </w:pPr>
      <w:r w:rsidRPr="00DE066E">
        <w:t>SWG Co-chair of the sector (Lead Development Partner)</w:t>
      </w:r>
    </w:p>
    <w:p w:rsidR="00AF3C76" w:rsidRPr="00DE066E" w:rsidRDefault="00AF3C76" w:rsidP="001F38F6">
      <w:pPr>
        <w:numPr>
          <w:ilvl w:val="0"/>
          <w:numId w:val="26"/>
        </w:numPr>
        <w:shd w:val="clear" w:color="auto" w:fill="FFFFFF"/>
        <w:spacing w:line="276" w:lineRule="auto"/>
        <w:jc w:val="both"/>
      </w:pPr>
      <w:r w:rsidRPr="00DE066E">
        <w:t>Representative of the PMO;</w:t>
      </w:r>
    </w:p>
    <w:p w:rsidR="008B1A35" w:rsidRPr="00DE066E" w:rsidRDefault="008B1A35" w:rsidP="001F38F6">
      <w:pPr>
        <w:numPr>
          <w:ilvl w:val="0"/>
          <w:numId w:val="26"/>
        </w:numPr>
        <w:shd w:val="clear" w:color="auto" w:fill="FFFFFF"/>
        <w:spacing w:line="276" w:lineRule="auto"/>
        <w:jc w:val="both"/>
      </w:pPr>
      <w:r w:rsidRPr="00DE066E">
        <w:t xml:space="preserve">Representatives of other concerned line ministries and </w:t>
      </w:r>
      <w:proofErr w:type="spellStart"/>
      <w:r w:rsidRPr="00DE066E">
        <w:t>GoR</w:t>
      </w:r>
      <w:proofErr w:type="spellEnd"/>
      <w:r w:rsidRPr="00DE066E">
        <w:t xml:space="preserve"> institutions;</w:t>
      </w:r>
    </w:p>
    <w:p w:rsidR="008B1A35" w:rsidRPr="00DE066E" w:rsidRDefault="008B1A35" w:rsidP="001F38F6">
      <w:pPr>
        <w:numPr>
          <w:ilvl w:val="0"/>
          <w:numId w:val="26"/>
        </w:numPr>
        <w:shd w:val="clear" w:color="auto" w:fill="FFFFFF"/>
        <w:spacing w:line="276" w:lineRule="auto"/>
        <w:jc w:val="both"/>
      </w:pPr>
      <w:r w:rsidRPr="00DE066E">
        <w:t>Representatives of MINECOFIN;</w:t>
      </w:r>
    </w:p>
    <w:p w:rsidR="008B1A35" w:rsidRPr="00DE066E" w:rsidRDefault="008B1A35" w:rsidP="001F38F6">
      <w:pPr>
        <w:numPr>
          <w:ilvl w:val="0"/>
          <w:numId w:val="26"/>
        </w:numPr>
        <w:shd w:val="clear" w:color="auto" w:fill="FFFFFF"/>
        <w:spacing w:line="276" w:lineRule="auto"/>
        <w:jc w:val="both"/>
      </w:pPr>
      <w:r w:rsidRPr="00DE066E">
        <w:t>A representative of the National Institute of Statistics (NISR)</w:t>
      </w:r>
    </w:p>
    <w:p w:rsidR="008B1A35" w:rsidRPr="00DE066E" w:rsidRDefault="008B1A35" w:rsidP="001F38F6">
      <w:pPr>
        <w:numPr>
          <w:ilvl w:val="0"/>
          <w:numId w:val="26"/>
        </w:numPr>
        <w:shd w:val="clear" w:color="auto" w:fill="FFFFFF"/>
        <w:spacing w:line="276" w:lineRule="auto"/>
        <w:jc w:val="both"/>
      </w:pPr>
      <w:r w:rsidRPr="00DE066E">
        <w:t>Representatives of Development Partner organisations;</w:t>
      </w:r>
    </w:p>
    <w:p w:rsidR="00AF3C76" w:rsidRPr="00DE066E" w:rsidRDefault="00AF3C76" w:rsidP="001F38F6">
      <w:pPr>
        <w:numPr>
          <w:ilvl w:val="0"/>
          <w:numId w:val="26"/>
        </w:numPr>
        <w:shd w:val="clear" w:color="auto" w:fill="FFFFFF"/>
        <w:spacing w:line="276" w:lineRule="auto"/>
        <w:jc w:val="both"/>
      </w:pPr>
      <w:r w:rsidRPr="00DE066E">
        <w:t>Representatives of Private sector operating in the sector</w:t>
      </w:r>
    </w:p>
    <w:p w:rsidR="008B1A35" w:rsidRPr="00DE066E" w:rsidRDefault="008B1A35" w:rsidP="001F38F6">
      <w:pPr>
        <w:numPr>
          <w:ilvl w:val="0"/>
          <w:numId w:val="26"/>
        </w:numPr>
        <w:shd w:val="clear" w:color="auto" w:fill="FFFFFF"/>
        <w:spacing w:line="276" w:lineRule="auto"/>
        <w:jc w:val="both"/>
      </w:pPr>
      <w:r w:rsidRPr="00DE066E">
        <w:t>Representatives from civil society organisations involved in the sector ;</w:t>
      </w:r>
    </w:p>
    <w:p w:rsidR="008B1A35" w:rsidRPr="00DE066E" w:rsidRDefault="008B1A35" w:rsidP="001F38F6">
      <w:pPr>
        <w:numPr>
          <w:ilvl w:val="0"/>
          <w:numId w:val="26"/>
        </w:numPr>
        <w:shd w:val="clear" w:color="auto" w:fill="FFFFFF"/>
        <w:spacing w:line="276" w:lineRule="auto"/>
        <w:jc w:val="both"/>
      </w:pPr>
      <w:r w:rsidRPr="00DE066E">
        <w:t xml:space="preserve">Other representatives as deemed appropriate by the </w:t>
      </w:r>
      <w:r w:rsidR="00AF3C76" w:rsidRPr="00DE066E">
        <w:t>Chair and co-Chair</w:t>
      </w:r>
      <w:r w:rsidR="00511652" w:rsidRPr="00DE066E">
        <w:t xml:space="preserve"> </w:t>
      </w:r>
      <w:r w:rsidR="000B6814" w:rsidRPr="00DE066E">
        <w:t xml:space="preserve">e.g. </w:t>
      </w:r>
      <w:r w:rsidR="00511652" w:rsidRPr="00DE066E">
        <w:t xml:space="preserve">including </w:t>
      </w:r>
      <w:r w:rsidR="000B6814" w:rsidRPr="00DE066E">
        <w:t>Associations of final beneficiaries</w:t>
      </w:r>
      <w:r w:rsidR="00511652" w:rsidRPr="00DE066E">
        <w:t>, local Government Authorities</w:t>
      </w:r>
      <w:r w:rsidR="00511652" w:rsidRPr="00DE066E">
        <w:footnoteReference w:id="2"/>
      </w:r>
      <w:r w:rsidR="00511652" w:rsidRPr="00DE066E">
        <w:t xml:space="preserve"> among others</w:t>
      </w:r>
      <w:r w:rsidRPr="00DE066E">
        <w:t>.</w:t>
      </w:r>
    </w:p>
    <w:p w:rsidR="005B62BE" w:rsidRPr="00DE066E" w:rsidRDefault="005B62BE" w:rsidP="002C0E75">
      <w:pPr>
        <w:shd w:val="clear" w:color="auto" w:fill="FFFFFF"/>
        <w:spacing w:after="200" w:line="276" w:lineRule="auto"/>
        <w:jc w:val="both"/>
        <w:rPr>
          <w:b/>
        </w:rPr>
      </w:pPr>
    </w:p>
    <w:p w:rsidR="00C137C2" w:rsidRPr="00DE066E" w:rsidRDefault="008B1A35" w:rsidP="001F38F6">
      <w:pPr>
        <w:shd w:val="clear" w:color="auto" w:fill="FFFFFF"/>
        <w:spacing w:after="200" w:line="276" w:lineRule="auto"/>
        <w:jc w:val="both"/>
      </w:pPr>
      <w:r w:rsidRPr="00DE066E">
        <w:rPr>
          <w:b/>
        </w:rPr>
        <w:t>NB</w:t>
      </w:r>
      <w:r w:rsidRPr="00DE066E">
        <w:t>: The first five</w:t>
      </w:r>
      <w:r w:rsidR="001B3C62">
        <w:t xml:space="preserve"> above</w:t>
      </w:r>
      <w:r w:rsidRPr="00DE066E">
        <w:t xml:space="preserve"> (</w:t>
      </w:r>
      <w:r w:rsidR="001B3C62">
        <w:t>a-j</w:t>
      </w:r>
      <w:r w:rsidRPr="00DE066E">
        <w:t>) are to participate in both the preparation of Sector working docu</w:t>
      </w:r>
      <w:r w:rsidR="007561C0" w:rsidRPr="00DE066E">
        <w:t>ments and Joint Sector Reviews</w:t>
      </w:r>
      <w:r w:rsidR="001F38F6" w:rsidRPr="00DE066E">
        <w:t>. Chair and Co-Chair may expand the technical team as they deem necessary.</w:t>
      </w:r>
    </w:p>
    <w:p w:rsidR="008B1A35" w:rsidRPr="00DE066E" w:rsidRDefault="008B1A35" w:rsidP="002C0E75">
      <w:pPr>
        <w:numPr>
          <w:ilvl w:val="0"/>
          <w:numId w:val="4"/>
        </w:numPr>
        <w:shd w:val="clear" w:color="auto" w:fill="FFFFFF"/>
        <w:spacing w:after="200" w:line="276" w:lineRule="auto"/>
        <w:jc w:val="both"/>
        <w:rPr>
          <w:b/>
        </w:rPr>
      </w:pPr>
      <w:r w:rsidRPr="00DE066E">
        <w:rPr>
          <w:b/>
        </w:rPr>
        <w:t>Management arrangements</w:t>
      </w:r>
    </w:p>
    <w:p w:rsidR="007561C0" w:rsidRPr="00DE066E" w:rsidRDefault="00226EE6" w:rsidP="002C0E75">
      <w:pPr>
        <w:shd w:val="clear" w:color="auto" w:fill="FFFFFF"/>
        <w:spacing w:after="200" w:line="276" w:lineRule="auto"/>
        <w:jc w:val="both"/>
        <w:rPr>
          <w:rFonts w:eastAsia="Calibri"/>
          <w:b/>
          <w:lang w:val="en-US"/>
        </w:rPr>
      </w:pPr>
      <w:r w:rsidRPr="00DE066E">
        <w:t>The Permanent Secretary of the Lead Sector Ministry will be the Chair of the Joint Sector Review while the Head of Cooperation of the Lead Donor in the sector will be Co-chair.</w:t>
      </w:r>
      <w:r w:rsidR="00F41074" w:rsidRPr="00DE066E">
        <w:t xml:space="preserve"> </w:t>
      </w:r>
      <w:r w:rsidR="008B1A35" w:rsidRPr="00DE066E">
        <w:rPr>
          <w:rFonts w:eastAsia="Calibri"/>
          <w:lang w:val="en-US"/>
        </w:rPr>
        <w:t xml:space="preserve">Final reports signed by the chair and co-chair of the SWG </w:t>
      </w:r>
      <w:r w:rsidR="007E4E51" w:rsidRPr="00DE066E">
        <w:rPr>
          <w:rFonts w:eastAsia="Calibri"/>
          <w:lang w:val="en-US"/>
        </w:rPr>
        <w:t>should</w:t>
      </w:r>
      <w:r w:rsidR="008B1A35" w:rsidRPr="00DE066E">
        <w:rPr>
          <w:rFonts w:eastAsia="Calibri"/>
          <w:lang w:val="en-US"/>
        </w:rPr>
        <w:t xml:space="preserve"> be submitted to MINECOFIN by </w:t>
      </w:r>
      <w:r w:rsidR="001F38F6" w:rsidRPr="00DE066E">
        <w:rPr>
          <w:rFonts w:eastAsia="Calibri"/>
          <w:b/>
          <w:lang w:val="en-US"/>
        </w:rPr>
        <w:t>5</w:t>
      </w:r>
      <w:r w:rsidR="008B1A35" w:rsidRPr="00DE066E">
        <w:rPr>
          <w:rFonts w:eastAsia="Calibri"/>
          <w:b/>
          <w:vertAlign w:val="superscript"/>
          <w:lang w:val="en-US"/>
        </w:rPr>
        <w:t>th</w:t>
      </w:r>
      <w:r w:rsidR="00F41074" w:rsidRPr="00DE066E">
        <w:rPr>
          <w:rFonts w:eastAsia="Calibri"/>
          <w:b/>
          <w:lang w:val="en-US"/>
        </w:rPr>
        <w:t xml:space="preserve"> </w:t>
      </w:r>
      <w:r w:rsidR="001F38F6" w:rsidRPr="00DE066E">
        <w:rPr>
          <w:rFonts w:eastAsia="Calibri"/>
          <w:b/>
          <w:lang w:val="en-US"/>
        </w:rPr>
        <w:t>June,</w:t>
      </w:r>
      <w:r w:rsidR="006F6DE1" w:rsidRPr="00DE066E">
        <w:rPr>
          <w:rFonts w:eastAsia="Calibri"/>
          <w:b/>
          <w:lang w:val="en-US"/>
        </w:rPr>
        <w:t xml:space="preserve"> 2015</w:t>
      </w:r>
      <w:r w:rsidR="008B1A35" w:rsidRPr="00DE066E">
        <w:rPr>
          <w:rFonts w:eastAsia="Calibri"/>
          <w:b/>
          <w:lang w:val="en-US"/>
        </w:rPr>
        <w:t>.</w:t>
      </w:r>
    </w:p>
    <w:p w:rsidR="008B1A35" w:rsidRPr="00DE066E" w:rsidRDefault="008B1A35" w:rsidP="002C0E75">
      <w:pPr>
        <w:numPr>
          <w:ilvl w:val="0"/>
          <w:numId w:val="4"/>
        </w:numPr>
        <w:shd w:val="clear" w:color="auto" w:fill="FFFFFF"/>
        <w:spacing w:after="200" w:line="276" w:lineRule="auto"/>
        <w:jc w:val="both"/>
        <w:rPr>
          <w:rFonts w:eastAsia="Calibri"/>
          <w:b/>
          <w:lang w:val="en-US"/>
        </w:rPr>
      </w:pPr>
      <w:r w:rsidRPr="00DE066E">
        <w:rPr>
          <w:rFonts w:eastAsia="Calibri"/>
          <w:b/>
          <w:lang w:val="en-US"/>
        </w:rPr>
        <w:t xml:space="preserve">Guidelines for the </w:t>
      </w:r>
      <w:r w:rsidR="004D0E6E" w:rsidRPr="00DE066E">
        <w:rPr>
          <w:rFonts w:eastAsia="Calibri"/>
          <w:b/>
          <w:lang w:val="en-US"/>
        </w:rPr>
        <w:t>JSR report</w:t>
      </w:r>
    </w:p>
    <w:bookmarkEnd w:id="1"/>
    <w:bookmarkEnd w:id="2"/>
    <w:p w:rsidR="00DB630E" w:rsidRPr="00DE066E" w:rsidRDefault="00DB630E" w:rsidP="002C0E75">
      <w:pPr>
        <w:shd w:val="clear" w:color="auto" w:fill="FFFFFF"/>
        <w:spacing w:after="200" w:line="276" w:lineRule="auto"/>
        <w:jc w:val="both"/>
        <w:rPr>
          <w:rFonts w:eastAsia="Calibri"/>
          <w:u w:val="single"/>
          <w:lang w:val="en-US"/>
        </w:rPr>
      </w:pPr>
      <w:r w:rsidRPr="00DE066E">
        <w:rPr>
          <w:rFonts w:eastAsia="Calibri"/>
          <w:lang w:val="en-US"/>
        </w:rPr>
        <w:t xml:space="preserve">The JSR report </w:t>
      </w:r>
      <w:r w:rsidR="00B735ED" w:rsidRPr="00DE066E">
        <w:rPr>
          <w:rFonts w:eastAsia="Calibri"/>
          <w:lang w:val="en-US"/>
        </w:rPr>
        <w:t>will comprise of</w:t>
      </w:r>
      <w:r w:rsidR="00DE066E" w:rsidRPr="00DE066E">
        <w:rPr>
          <w:rFonts w:eastAsia="Calibri"/>
          <w:lang w:val="en-US"/>
        </w:rPr>
        <w:t>:</w:t>
      </w:r>
      <w:r w:rsidR="00B735ED" w:rsidRPr="00DE066E">
        <w:rPr>
          <w:rFonts w:eastAsia="Calibri"/>
          <w:lang w:val="en-US"/>
        </w:rPr>
        <w:t xml:space="preserve"> a </w:t>
      </w:r>
      <w:r w:rsidR="00DE066E" w:rsidRPr="00DE066E">
        <w:rPr>
          <w:rFonts w:eastAsia="Calibri"/>
          <w:lang w:val="en-US"/>
        </w:rPr>
        <w:t xml:space="preserve">maximum of 10 </w:t>
      </w:r>
      <w:r w:rsidR="00B735ED" w:rsidRPr="00DE066E">
        <w:rPr>
          <w:rFonts w:eastAsia="Calibri"/>
          <w:lang w:val="en-US"/>
        </w:rPr>
        <w:t>pages</w:t>
      </w:r>
      <w:r w:rsidR="00DE066E" w:rsidRPr="00DE066E">
        <w:rPr>
          <w:rFonts w:eastAsia="Calibri"/>
          <w:lang w:val="en-US"/>
        </w:rPr>
        <w:t xml:space="preserve"> of narrative (excluding annexes) covering the requirements under section 2 (a-</w:t>
      </w:r>
      <w:r w:rsidR="009323C1">
        <w:rPr>
          <w:rFonts w:eastAsia="Calibri"/>
          <w:lang w:val="en-US"/>
        </w:rPr>
        <w:t>f</w:t>
      </w:r>
      <w:r w:rsidR="00DE066E" w:rsidRPr="00DE066E">
        <w:rPr>
          <w:rFonts w:eastAsia="Calibri"/>
          <w:lang w:val="en-US"/>
        </w:rPr>
        <w:t>)</w:t>
      </w:r>
      <w:r w:rsidRPr="00DE066E">
        <w:rPr>
          <w:rFonts w:eastAsia="Calibri"/>
          <w:u w:val="single"/>
          <w:lang w:val="en-US"/>
        </w:rPr>
        <w:t>;</w:t>
      </w:r>
    </w:p>
    <w:p w:rsidR="001B3C62" w:rsidRPr="009323C1" w:rsidRDefault="008B1A35" w:rsidP="009323C1">
      <w:pPr>
        <w:shd w:val="clear" w:color="auto" w:fill="FFFFFF"/>
        <w:spacing w:after="200" w:line="276" w:lineRule="auto"/>
        <w:jc w:val="both"/>
        <w:rPr>
          <w:lang w:val="en-US"/>
        </w:rPr>
      </w:pPr>
      <w:r w:rsidRPr="00DE066E">
        <w:rPr>
          <w:b/>
        </w:rPr>
        <w:t>Enquiries:</w:t>
      </w:r>
      <w:r w:rsidRPr="00DE066E">
        <w:t xml:space="preserve"> For </w:t>
      </w:r>
      <w:r w:rsidR="00DE066E" w:rsidRPr="00DE066E">
        <w:t xml:space="preserve">any </w:t>
      </w:r>
      <w:r w:rsidRPr="00DE066E">
        <w:t xml:space="preserve">further clarifications </w:t>
      </w:r>
      <w:r w:rsidR="00E56DA8" w:rsidRPr="00DE066E">
        <w:t xml:space="preserve">needed, </w:t>
      </w:r>
      <w:r w:rsidRPr="00DE066E">
        <w:t>please send an e</w:t>
      </w:r>
      <w:r w:rsidRPr="00DE066E">
        <w:rPr>
          <w:lang w:val="en-US"/>
        </w:rPr>
        <w:t xml:space="preserve">mail </w:t>
      </w:r>
      <w:r w:rsidR="00B735ED" w:rsidRPr="00DE066E">
        <w:rPr>
          <w:lang w:val="en-US"/>
        </w:rPr>
        <w:t>to</w:t>
      </w:r>
      <w:r w:rsidR="009323C1">
        <w:rPr>
          <w:lang w:val="en-US"/>
        </w:rPr>
        <w:t xml:space="preserve"> the </w:t>
      </w:r>
      <w:r w:rsidR="00DE066E" w:rsidRPr="009323C1">
        <w:rPr>
          <w:lang w:val="en-US"/>
        </w:rPr>
        <w:t xml:space="preserve">Director General </w:t>
      </w:r>
      <w:r w:rsidR="00E017EB" w:rsidRPr="009323C1">
        <w:rPr>
          <w:lang w:val="en-US"/>
        </w:rPr>
        <w:t xml:space="preserve">National Development Planning via </w:t>
      </w:r>
      <w:hyperlink r:id="rId9" w:history="1">
        <w:r w:rsidR="00DE066E" w:rsidRPr="009323C1">
          <w:rPr>
            <w:rStyle w:val="Hyperlink"/>
            <w:color w:val="0070C0"/>
            <w:lang w:val="en-US"/>
          </w:rPr>
          <w:t>ndpr@minecofin.gov.rw</w:t>
        </w:r>
      </w:hyperlink>
      <w:r w:rsidR="009323C1">
        <w:rPr>
          <w:rStyle w:val="Hyperlink"/>
          <w:color w:val="0070C0"/>
          <w:lang w:val="en-US"/>
        </w:rPr>
        <w:t>.</w:t>
      </w:r>
      <w:r w:rsidR="001B3C62" w:rsidRPr="009323C1">
        <w:rPr>
          <w:lang w:val="en-US"/>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2873"/>
        <w:gridCol w:w="2332"/>
      </w:tblGrid>
      <w:tr w:rsidR="001B3C62" w:rsidRPr="00DE066E" w:rsidTr="00A20932">
        <w:trPr>
          <w:trHeight w:val="394"/>
          <w:tblHeader/>
        </w:trPr>
        <w:tc>
          <w:tcPr>
            <w:tcW w:w="9828" w:type="dxa"/>
            <w:gridSpan w:val="3"/>
            <w:shd w:val="clear" w:color="auto" w:fill="EAF1DD"/>
          </w:tcPr>
          <w:p w:rsidR="00A20932" w:rsidRPr="00DE066E" w:rsidRDefault="00DE066E" w:rsidP="00685539">
            <w:pPr>
              <w:spacing w:after="120"/>
              <w:jc w:val="center"/>
              <w:rPr>
                <w:b/>
              </w:rPr>
            </w:pPr>
            <w:r w:rsidRPr="001B3C62">
              <w:rPr>
                <w:lang w:val="en-US"/>
              </w:rPr>
              <w:t xml:space="preserve"> </w:t>
            </w:r>
            <w:r w:rsidRPr="00DE066E">
              <w:t xml:space="preserve"> </w:t>
            </w:r>
            <w:r w:rsidR="00A20932" w:rsidRPr="00DE066E">
              <w:rPr>
                <w:b/>
              </w:rPr>
              <w:t>Roadmap for the 2015/16 Forward Looking JSR</w:t>
            </w:r>
          </w:p>
        </w:tc>
      </w:tr>
      <w:tr w:rsidR="001B3C62" w:rsidRPr="00DE066E" w:rsidTr="00A20932">
        <w:trPr>
          <w:trHeight w:val="394"/>
        </w:trPr>
        <w:tc>
          <w:tcPr>
            <w:tcW w:w="4623" w:type="dxa"/>
          </w:tcPr>
          <w:p w:rsidR="00A20932" w:rsidRPr="00DE066E" w:rsidRDefault="00A20932" w:rsidP="001F0B26">
            <w:pPr>
              <w:spacing w:after="120"/>
              <w:jc w:val="both"/>
              <w:rPr>
                <w:b/>
              </w:rPr>
            </w:pPr>
            <w:r w:rsidRPr="00DE066E">
              <w:rPr>
                <w:b/>
              </w:rPr>
              <w:t xml:space="preserve">Deliverable </w:t>
            </w:r>
          </w:p>
        </w:tc>
        <w:tc>
          <w:tcPr>
            <w:tcW w:w="2873" w:type="dxa"/>
          </w:tcPr>
          <w:p w:rsidR="00A20932" w:rsidRPr="00DE066E" w:rsidRDefault="00A20932" w:rsidP="001F38F6">
            <w:pPr>
              <w:spacing w:after="120"/>
              <w:jc w:val="both"/>
              <w:rPr>
                <w:b/>
              </w:rPr>
            </w:pPr>
            <w:r w:rsidRPr="00DE066E">
              <w:rPr>
                <w:b/>
              </w:rPr>
              <w:t>Timeline (2015)</w:t>
            </w:r>
          </w:p>
        </w:tc>
        <w:tc>
          <w:tcPr>
            <w:tcW w:w="2332" w:type="dxa"/>
          </w:tcPr>
          <w:p w:rsidR="00A20932" w:rsidRPr="00DE066E" w:rsidRDefault="00A20932" w:rsidP="001F38F6">
            <w:pPr>
              <w:spacing w:after="120"/>
              <w:jc w:val="both"/>
              <w:rPr>
                <w:b/>
              </w:rPr>
            </w:pPr>
            <w:r w:rsidRPr="00DE066E">
              <w:rPr>
                <w:b/>
              </w:rPr>
              <w:t>Responsible Institution</w:t>
            </w:r>
          </w:p>
        </w:tc>
      </w:tr>
      <w:tr w:rsidR="001B3C62" w:rsidRPr="00DE066E" w:rsidTr="00A20932">
        <w:trPr>
          <w:trHeight w:val="394"/>
        </w:trPr>
        <w:tc>
          <w:tcPr>
            <w:tcW w:w="4623" w:type="dxa"/>
          </w:tcPr>
          <w:p w:rsidR="00A20932" w:rsidRPr="00DE066E" w:rsidRDefault="00A20932" w:rsidP="00F50CD3">
            <w:pPr>
              <w:spacing w:after="120"/>
              <w:jc w:val="both"/>
            </w:pPr>
            <w:r w:rsidRPr="00DE066E">
              <w:t>Issuance of final TORs to SWGs</w:t>
            </w:r>
          </w:p>
        </w:tc>
        <w:tc>
          <w:tcPr>
            <w:tcW w:w="2873" w:type="dxa"/>
          </w:tcPr>
          <w:p w:rsidR="00A20932" w:rsidRPr="00DE066E" w:rsidRDefault="00A20932" w:rsidP="001B3C62">
            <w:pPr>
              <w:spacing w:after="120"/>
            </w:pPr>
            <w:r w:rsidRPr="00DE066E">
              <w:t>5</w:t>
            </w:r>
            <w:r w:rsidRPr="00DE066E">
              <w:rPr>
                <w:vertAlign w:val="superscript"/>
              </w:rPr>
              <w:t>th</w:t>
            </w:r>
            <w:r w:rsidRPr="00DE066E">
              <w:t xml:space="preserve"> May 2015</w:t>
            </w:r>
          </w:p>
        </w:tc>
        <w:tc>
          <w:tcPr>
            <w:tcW w:w="2332" w:type="dxa"/>
          </w:tcPr>
          <w:p w:rsidR="00A20932" w:rsidRPr="00DE066E" w:rsidRDefault="00A20932" w:rsidP="001F38F6">
            <w:pPr>
              <w:spacing w:after="120"/>
              <w:jc w:val="both"/>
            </w:pPr>
            <w:r w:rsidRPr="00DE066E">
              <w:t>MINECOFIN</w:t>
            </w:r>
          </w:p>
        </w:tc>
      </w:tr>
      <w:tr w:rsidR="001B3C62" w:rsidRPr="00DE066E" w:rsidTr="00A20932">
        <w:trPr>
          <w:trHeight w:val="394"/>
        </w:trPr>
        <w:tc>
          <w:tcPr>
            <w:tcW w:w="4623" w:type="dxa"/>
          </w:tcPr>
          <w:p w:rsidR="00A20932" w:rsidRPr="00DE066E" w:rsidRDefault="00A20932" w:rsidP="00F50CD3">
            <w:pPr>
              <w:spacing w:after="120"/>
              <w:jc w:val="both"/>
              <w:rPr>
                <w:lang w:val="en-US"/>
              </w:rPr>
            </w:pPr>
            <w:r w:rsidRPr="00DE066E">
              <w:rPr>
                <w:lang w:val="en-US"/>
              </w:rPr>
              <w:t xml:space="preserve">NDPR to liaise with sectors to develop a consolidated &amp; harmonized calendar of  JSR meetings to avoid collusion of related JSR meetings </w:t>
            </w:r>
          </w:p>
        </w:tc>
        <w:tc>
          <w:tcPr>
            <w:tcW w:w="2873" w:type="dxa"/>
          </w:tcPr>
          <w:p w:rsidR="00A20932" w:rsidRPr="00DE066E" w:rsidRDefault="00A20932" w:rsidP="001B3C62">
            <w:pPr>
              <w:spacing w:after="120"/>
              <w:rPr>
                <w:lang w:val="en-US"/>
              </w:rPr>
            </w:pPr>
            <w:r w:rsidRPr="00DE066E">
              <w:rPr>
                <w:lang w:val="en-US"/>
              </w:rPr>
              <w:t xml:space="preserve">Throughout </w:t>
            </w:r>
          </w:p>
          <w:p w:rsidR="00A20932" w:rsidRPr="00DE066E" w:rsidRDefault="00A20932" w:rsidP="001B3C62">
            <w:pPr>
              <w:spacing w:after="120"/>
            </w:pPr>
          </w:p>
        </w:tc>
        <w:tc>
          <w:tcPr>
            <w:tcW w:w="2332" w:type="dxa"/>
          </w:tcPr>
          <w:p w:rsidR="00A20932" w:rsidRPr="00DE066E" w:rsidRDefault="00A20932" w:rsidP="001F38F6">
            <w:pPr>
              <w:spacing w:after="120"/>
              <w:jc w:val="both"/>
            </w:pPr>
            <w:r w:rsidRPr="00DE066E">
              <w:t>MINECOFIN</w:t>
            </w:r>
          </w:p>
        </w:tc>
      </w:tr>
      <w:tr w:rsidR="001B3C62" w:rsidRPr="00DE066E" w:rsidTr="00D8642C">
        <w:trPr>
          <w:trHeight w:val="638"/>
        </w:trPr>
        <w:tc>
          <w:tcPr>
            <w:tcW w:w="4623" w:type="dxa"/>
          </w:tcPr>
          <w:p w:rsidR="00A20932" w:rsidRPr="00DE066E" w:rsidRDefault="00A20932" w:rsidP="00F50CD3">
            <w:pPr>
              <w:spacing w:after="120"/>
              <w:rPr>
                <w:lang w:val="en-US"/>
              </w:rPr>
            </w:pPr>
            <w:r w:rsidRPr="00DE066E">
              <w:rPr>
                <w:lang w:val="en-US"/>
              </w:rPr>
              <w:t xml:space="preserve">Engaging technical working teams to fully understand </w:t>
            </w:r>
            <w:proofErr w:type="spellStart"/>
            <w:r w:rsidRPr="00DE066E">
              <w:rPr>
                <w:lang w:val="en-US"/>
              </w:rPr>
              <w:t>ToR</w:t>
            </w:r>
            <w:proofErr w:type="spellEnd"/>
            <w:r w:rsidRPr="00DE066E">
              <w:rPr>
                <w:lang w:val="en-US"/>
              </w:rPr>
              <w:t xml:space="preserve"> requirements </w:t>
            </w:r>
          </w:p>
        </w:tc>
        <w:tc>
          <w:tcPr>
            <w:tcW w:w="2873" w:type="dxa"/>
          </w:tcPr>
          <w:p w:rsidR="00A20932" w:rsidRPr="00DE066E" w:rsidRDefault="00A20932" w:rsidP="001B3C62">
            <w:pPr>
              <w:spacing w:after="120"/>
              <w:rPr>
                <w:lang w:val="en-US"/>
              </w:rPr>
            </w:pPr>
            <w:r w:rsidRPr="00DE066E">
              <w:rPr>
                <w:lang w:val="en-US"/>
              </w:rPr>
              <w:t>8</w:t>
            </w:r>
            <w:r w:rsidRPr="00DE066E">
              <w:rPr>
                <w:vertAlign w:val="superscript"/>
                <w:lang w:val="en-US"/>
              </w:rPr>
              <w:t>th</w:t>
            </w:r>
            <w:r w:rsidRPr="00DE066E">
              <w:rPr>
                <w:lang w:val="en-US"/>
              </w:rPr>
              <w:t xml:space="preserve">  May 2015 and throughout </w:t>
            </w:r>
          </w:p>
        </w:tc>
        <w:tc>
          <w:tcPr>
            <w:tcW w:w="2332" w:type="dxa"/>
          </w:tcPr>
          <w:p w:rsidR="00A20932" w:rsidRPr="00DE066E" w:rsidRDefault="00A20932" w:rsidP="001F38F6">
            <w:pPr>
              <w:spacing w:after="120"/>
              <w:jc w:val="both"/>
            </w:pPr>
            <w:r w:rsidRPr="00DE066E">
              <w:t>Lead Sector Ministry</w:t>
            </w:r>
          </w:p>
        </w:tc>
      </w:tr>
      <w:tr w:rsidR="001B3C62" w:rsidRPr="00DE066E" w:rsidTr="00D8642C">
        <w:trPr>
          <w:trHeight w:val="593"/>
        </w:trPr>
        <w:tc>
          <w:tcPr>
            <w:tcW w:w="4623" w:type="dxa"/>
          </w:tcPr>
          <w:p w:rsidR="00A20932" w:rsidRPr="00DE066E" w:rsidRDefault="00A20932" w:rsidP="00A20932">
            <w:pPr>
              <w:spacing w:after="120"/>
              <w:rPr>
                <w:lang w:val="en-US"/>
              </w:rPr>
            </w:pPr>
            <w:r w:rsidRPr="00DE066E">
              <w:rPr>
                <w:lang w:val="en-US"/>
              </w:rPr>
              <w:t xml:space="preserve">Holding of JSR meetings </w:t>
            </w:r>
          </w:p>
        </w:tc>
        <w:tc>
          <w:tcPr>
            <w:tcW w:w="2873" w:type="dxa"/>
          </w:tcPr>
          <w:p w:rsidR="00A20932" w:rsidRPr="00DE066E" w:rsidRDefault="00A20932" w:rsidP="001B3C62">
            <w:pPr>
              <w:spacing w:after="120"/>
              <w:rPr>
                <w:lang w:val="en-US"/>
              </w:rPr>
            </w:pPr>
            <w:r w:rsidRPr="00DE066E">
              <w:rPr>
                <w:lang w:val="en-US"/>
              </w:rPr>
              <w:t>Till 29</w:t>
            </w:r>
            <w:r w:rsidRPr="00DE066E">
              <w:rPr>
                <w:vertAlign w:val="superscript"/>
                <w:lang w:val="en-US"/>
              </w:rPr>
              <w:t>th</w:t>
            </w:r>
            <w:r w:rsidRPr="00DE066E">
              <w:rPr>
                <w:lang w:val="en-US"/>
              </w:rPr>
              <w:t xml:space="preserve">  May 2015</w:t>
            </w:r>
          </w:p>
        </w:tc>
        <w:tc>
          <w:tcPr>
            <w:tcW w:w="2332" w:type="dxa"/>
          </w:tcPr>
          <w:p w:rsidR="00A20932" w:rsidRPr="00DE066E" w:rsidRDefault="00A20932" w:rsidP="001F38F6">
            <w:pPr>
              <w:spacing w:after="120"/>
              <w:jc w:val="both"/>
              <w:rPr>
                <w:lang w:val="en-US"/>
              </w:rPr>
            </w:pPr>
            <w:r w:rsidRPr="00DE066E">
              <w:rPr>
                <w:lang w:val="en-US"/>
              </w:rPr>
              <w:t xml:space="preserve">SWG Chairs &amp; Co Chairs </w:t>
            </w:r>
          </w:p>
        </w:tc>
      </w:tr>
      <w:tr w:rsidR="001B3C62" w:rsidRPr="00DE066E" w:rsidTr="00A20932">
        <w:trPr>
          <w:trHeight w:val="530"/>
        </w:trPr>
        <w:tc>
          <w:tcPr>
            <w:tcW w:w="4623" w:type="dxa"/>
          </w:tcPr>
          <w:p w:rsidR="00A20932" w:rsidRPr="00DE066E" w:rsidRDefault="00A20932" w:rsidP="00F50CD3">
            <w:pPr>
              <w:spacing w:after="120"/>
              <w:jc w:val="both"/>
              <w:rPr>
                <w:lang w:val="en-US"/>
              </w:rPr>
            </w:pPr>
            <w:r w:rsidRPr="00DE066E">
              <w:rPr>
                <w:lang w:val="en-US"/>
              </w:rPr>
              <w:t xml:space="preserve">Deadline for submission of signed reports* to MINECOFIN </w:t>
            </w:r>
          </w:p>
        </w:tc>
        <w:tc>
          <w:tcPr>
            <w:tcW w:w="2873" w:type="dxa"/>
          </w:tcPr>
          <w:p w:rsidR="00A20932" w:rsidRPr="00DE066E" w:rsidRDefault="00A20932" w:rsidP="001B3C62">
            <w:pPr>
              <w:spacing w:after="120"/>
              <w:rPr>
                <w:lang w:val="en-US"/>
              </w:rPr>
            </w:pPr>
            <w:r w:rsidRPr="00DE066E">
              <w:rPr>
                <w:lang w:val="en-US"/>
              </w:rPr>
              <w:t>5</w:t>
            </w:r>
            <w:r w:rsidRPr="00DE066E">
              <w:rPr>
                <w:vertAlign w:val="superscript"/>
                <w:lang w:val="en-US"/>
              </w:rPr>
              <w:t>th</w:t>
            </w:r>
            <w:r w:rsidRPr="00DE066E">
              <w:rPr>
                <w:lang w:val="en-US"/>
              </w:rPr>
              <w:t xml:space="preserve">  June 2015</w:t>
            </w:r>
          </w:p>
          <w:p w:rsidR="00A20932" w:rsidRPr="00DE066E" w:rsidRDefault="00A20932" w:rsidP="001B3C62">
            <w:pPr>
              <w:spacing w:after="120"/>
            </w:pPr>
          </w:p>
        </w:tc>
        <w:tc>
          <w:tcPr>
            <w:tcW w:w="2332" w:type="dxa"/>
          </w:tcPr>
          <w:p w:rsidR="00D8642C" w:rsidRPr="00DE066E" w:rsidRDefault="00D8642C" w:rsidP="00D8642C">
            <w:pPr>
              <w:spacing w:after="120"/>
              <w:jc w:val="both"/>
              <w:rPr>
                <w:lang w:val="en-US"/>
              </w:rPr>
            </w:pPr>
            <w:r w:rsidRPr="00DE066E">
              <w:rPr>
                <w:lang w:val="en-US"/>
              </w:rPr>
              <w:t>SWGs</w:t>
            </w:r>
          </w:p>
          <w:p w:rsidR="00A20932" w:rsidRPr="00DE066E" w:rsidRDefault="00A20932" w:rsidP="001F38F6">
            <w:pPr>
              <w:spacing w:after="120"/>
              <w:jc w:val="both"/>
            </w:pPr>
          </w:p>
        </w:tc>
      </w:tr>
    </w:tbl>
    <w:p w:rsidR="006F165D" w:rsidRPr="00DE066E" w:rsidRDefault="006F165D" w:rsidP="002B6B9E"/>
    <w:p w:rsidR="00F41074" w:rsidRPr="00DE066E" w:rsidRDefault="00F41074" w:rsidP="002B6B9E">
      <w:r w:rsidRPr="00DE066E">
        <w:t>*</w:t>
      </w:r>
      <w:r w:rsidR="006F165D" w:rsidRPr="00DE066E">
        <w:t xml:space="preserve">NB: </w:t>
      </w:r>
      <w:r w:rsidRPr="00DE066E">
        <w:t xml:space="preserve">All draft summaries should be submitted to MINECOFIN planning department for quality assurance before signing. </w:t>
      </w:r>
    </w:p>
    <w:sectPr w:rsidR="00F41074" w:rsidRPr="00DE066E" w:rsidSect="00DD52B5">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65" w:rsidRDefault="00FF0765" w:rsidP="001B05B1">
      <w:r>
        <w:separator/>
      </w:r>
    </w:p>
  </w:endnote>
  <w:endnote w:type="continuationSeparator" w:id="0">
    <w:p w:rsidR="00FF0765" w:rsidRDefault="00FF0765" w:rsidP="001B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6F" w:rsidRDefault="00F3386F">
    <w:pPr>
      <w:pStyle w:val="Footer"/>
      <w:jc w:val="right"/>
    </w:pPr>
    <w:r>
      <w:t xml:space="preserve">Page </w:t>
    </w:r>
    <w:r w:rsidR="00784154">
      <w:rPr>
        <w:b/>
        <w:bCs/>
      </w:rPr>
      <w:fldChar w:fldCharType="begin"/>
    </w:r>
    <w:r>
      <w:rPr>
        <w:b/>
        <w:bCs/>
      </w:rPr>
      <w:instrText xml:space="preserve"> PAGE </w:instrText>
    </w:r>
    <w:r w:rsidR="00784154">
      <w:rPr>
        <w:b/>
        <w:bCs/>
      </w:rPr>
      <w:fldChar w:fldCharType="separate"/>
    </w:r>
    <w:r w:rsidR="00A959E1">
      <w:rPr>
        <w:b/>
        <w:bCs/>
        <w:noProof/>
      </w:rPr>
      <w:t>1</w:t>
    </w:r>
    <w:r w:rsidR="00784154">
      <w:rPr>
        <w:b/>
        <w:bCs/>
      </w:rPr>
      <w:fldChar w:fldCharType="end"/>
    </w:r>
    <w:r>
      <w:t xml:space="preserve"> of </w:t>
    </w:r>
    <w:r w:rsidR="00784154">
      <w:rPr>
        <w:b/>
        <w:bCs/>
      </w:rPr>
      <w:fldChar w:fldCharType="begin"/>
    </w:r>
    <w:r>
      <w:rPr>
        <w:b/>
        <w:bCs/>
      </w:rPr>
      <w:instrText xml:space="preserve"> NUMPAGES  </w:instrText>
    </w:r>
    <w:r w:rsidR="00784154">
      <w:rPr>
        <w:b/>
        <w:bCs/>
      </w:rPr>
      <w:fldChar w:fldCharType="separate"/>
    </w:r>
    <w:r w:rsidR="00A959E1">
      <w:rPr>
        <w:b/>
        <w:bCs/>
        <w:noProof/>
      </w:rPr>
      <w:t>4</w:t>
    </w:r>
    <w:r w:rsidR="00784154">
      <w:rPr>
        <w:b/>
        <w:bCs/>
      </w:rPr>
      <w:fldChar w:fldCharType="end"/>
    </w:r>
  </w:p>
  <w:p w:rsidR="001B05B1" w:rsidRDefault="001B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65" w:rsidRDefault="00FF0765" w:rsidP="001B05B1">
      <w:r>
        <w:separator/>
      </w:r>
    </w:p>
  </w:footnote>
  <w:footnote w:type="continuationSeparator" w:id="0">
    <w:p w:rsidR="00FF0765" w:rsidRDefault="00FF0765" w:rsidP="001B05B1">
      <w:r>
        <w:continuationSeparator/>
      </w:r>
    </w:p>
  </w:footnote>
  <w:footnote w:id="1">
    <w:p w:rsidR="00605D96" w:rsidRPr="006F165D" w:rsidRDefault="00605D96" w:rsidP="00605D96">
      <w:pPr>
        <w:pStyle w:val="FootnoteText"/>
        <w:rPr>
          <w:color w:val="00B0F0"/>
          <w:lang w:val="en-US"/>
        </w:rPr>
      </w:pPr>
      <w:r w:rsidRPr="001B3C62">
        <w:rPr>
          <w:rStyle w:val="FootnoteReference"/>
        </w:rPr>
        <w:footnoteRef/>
      </w:r>
      <w:r w:rsidRPr="001B3C62">
        <w:t xml:space="preserve"> </w:t>
      </w:r>
      <w:r w:rsidRPr="001B3C62">
        <w:rPr>
          <w:lang w:val="en-US"/>
        </w:rPr>
        <w:t xml:space="preserve">Budget assumptions could include </w:t>
      </w:r>
      <w:r w:rsidR="00EF53DB">
        <w:rPr>
          <w:lang w:val="en-US"/>
        </w:rPr>
        <w:t xml:space="preserve">policy decisions to decentralize </w:t>
      </w:r>
      <w:proofErr w:type="spellStart"/>
      <w:r w:rsidR="00EF53DB">
        <w:rPr>
          <w:lang w:val="en-US"/>
        </w:rPr>
        <w:t>programmes</w:t>
      </w:r>
      <w:proofErr w:type="spellEnd"/>
      <w:r w:rsidR="00EF53DB">
        <w:rPr>
          <w:lang w:val="en-US"/>
        </w:rPr>
        <w:t>, to attract private sector investment, etc. thereby prioritizing other areas</w:t>
      </w:r>
    </w:p>
  </w:footnote>
  <w:footnote w:id="2">
    <w:p w:rsidR="007C4A02" w:rsidRPr="00511652" w:rsidRDefault="00511652" w:rsidP="00511652">
      <w:pPr>
        <w:pStyle w:val="FootnoteText"/>
        <w:numPr>
          <w:ilvl w:val="0"/>
          <w:numId w:val="24"/>
        </w:numPr>
        <w:rPr>
          <w:lang w:val="en-US"/>
        </w:rPr>
      </w:pPr>
      <w:r>
        <w:rPr>
          <w:rStyle w:val="FootnoteReference"/>
        </w:rPr>
        <w:footnoteRef/>
      </w:r>
      <w:r>
        <w:t xml:space="preserve"> </w:t>
      </w:r>
      <w:r w:rsidR="00150F57">
        <w:rPr>
          <w:lang w:val="en-US"/>
        </w:rPr>
        <w:t>Local Government A</w:t>
      </w:r>
      <w:r w:rsidR="00144D6A" w:rsidRPr="00511652">
        <w:rPr>
          <w:lang w:val="en-US"/>
        </w:rPr>
        <w:t xml:space="preserve">uthorities may be invited after consultations with MINALOC </w:t>
      </w:r>
    </w:p>
    <w:p w:rsidR="00511652" w:rsidRPr="00511652" w:rsidRDefault="00511652">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5B"/>
    <w:multiLevelType w:val="hybridMultilevel"/>
    <w:tmpl w:val="4DCE322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AC127E"/>
    <w:multiLevelType w:val="hybridMultilevel"/>
    <w:tmpl w:val="5EE28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A22B3"/>
    <w:multiLevelType w:val="hybridMultilevel"/>
    <w:tmpl w:val="B6623E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C593B07"/>
    <w:multiLevelType w:val="hybridMultilevel"/>
    <w:tmpl w:val="A44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D5427"/>
    <w:multiLevelType w:val="hybridMultilevel"/>
    <w:tmpl w:val="7E24A7F2"/>
    <w:lvl w:ilvl="0" w:tplc="A7CE0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5E80"/>
    <w:multiLevelType w:val="hybridMultilevel"/>
    <w:tmpl w:val="34680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D4B52"/>
    <w:multiLevelType w:val="hybridMultilevel"/>
    <w:tmpl w:val="7FB4BA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798"/>
    <w:multiLevelType w:val="hybridMultilevel"/>
    <w:tmpl w:val="FCCCE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4C1708"/>
    <w:multiLevelType w:val="hybridMultilevel"/>
    <w:tmpl w:val="A504FED0"/>
    <w:lvl w:ilvl="0" w:tplc="0B66CDC0">
      <w:start w:val="1"/>
      <w:numFmt w:val="bullet"/>
      <w:lvlText w:val="•"/>
      <w:lvlJc w:val="left"/>
      <w:pPr>
        <w:tabs>
          <w:tab w:val="num" w:pos="720"/>
        </w:tabs>
        <w:ind w:left="720" w:hanging="360"/>
      </w:pPr>
      <w:rPr>
        <w:rFonts w:ascii="Arial" w:hAnsi="Arial" w:hint="default"/>
      </w:rPr>
    </w:lvl>
    <w:lvl w:ilvl="1" w:tplc="C2D2820A" w:tentative="1">
      <w:start w:val="1"/>
      <w:numFmt w:val="bullet"/>
      <w:lvlText w:val="•"/>
      <w:lvlJc w:val="left"/>
      <w:pPr>
        <w:tabs>
          <w:tab w:val="num" w:pos="1440"/>
        </w:tabs>
        <w:ind w:left="1440" w:hanging="360"/>
      </w:pPr>
      <w:rPr>
        <w:rFonts w:ascii="Arial" w:hAnsi="Arial" w:hint="default"/>
      </w:rPr>
    </w:lvl>
    <w:lvl w:ilvl="2" w:tplc="190068E2" w:tentative="1">
      <w:start w:val="1"/>
      <w:numFmt w:val="bullet"/>
      <w:lvlText w:val="•"/>
      <w:lvlJc w:val="left"/>
      <w:pPr>
        <w:tabs>
          <w:tab w:val="num" w:pos="2160"/>
        </w:tabs>
        <w:ind w:left="2160" w:hanging="360"/>
      </w:pPr>
      <w:rPr>
        <w:rFonts w:ascii="Arial" w:hAnsi="Arial" w:hint="default"/>
      </w:rPr>
    </w:lvl>
    <w:lvl w:ilvl="3" w:tplc="4494662C" w:tentative="1">
      <w:start w:val="1"/>
      <w:numFmt w:val="bullet"/>
      <w:lvlText w:val="•"/>
      <w:lvlJc w:val="left"/>
      <w:pPr>
        <w:tabs>
          <w:tab w:val="num" w:pos="2880"/>
        </w:tabs>
        <w:ind w:left="2880" w:hanging="360"/>
      </w:pPr>
      <w:rPr>
        <w:rFonts w:ascii="Arial" w:hAnsi="Arial" w:hint="default"/>
      </w:rPr>
    </w:lvl>
    <w:lvl w:ilvl="4" w:tplc="FCFCE35E" w:tentative="1">
      <w:start w:val="1"/>
      <w:numFmt w:val="bullet"/>
      <w:lvlText w:val="•"/>
      <w:lvlJc w:val="left"/>
      <w:pPr>
        <w:tabs>
          <w:tab w:val="num" w:pos="3600"/>
        </w:tabs>
        <w:ind w:left="3600" w:hanging="360"/>
      </w:pPr>
      <w:rPr>
        <w:rFonts w:ascii="Arial" w:hAnsi="Arial" w:hint="default"/>
      </w:rPr>
    </w:lvl>
    <w:lvl w:ilvl="5" w:tplc="0D26D39A" w:tentative="1">
      <w:start w:val="1"/>
      <w:numFmt w:val="bullet"/>
      <w:lvlText w:val="•"/>
      <w:lvlJc w:val="left"/>
      <w:pPr>
        <w:tabs>
          <w:tab w:val="num" w:pos="4320"/>
        </w:tabs>
        <w:ind w:left="4320" w:hanging="360"/>
      </w:pPr>
      <w:rPr>
        <w:rFonts w:ascii="Arial" w:hAnsi="Arial" w:hint="default"/>
      </w:rPr>
    </w:lvl>
    <w:lvl w:ilvl="6" w:tplc="66A65CB0" w:tentative="1">
      <w:start w:val="1"/>
      <w:numFmt w:val="bullet"/>
      <w:lvlText w:val="•"/>
      <w:lvlJc w:val="left"/>
      <w:pPr>
        <w:tabs>
          <w:tab w:val="num" w:pos="5040"/>
        </w:tabs>
        <w:ind w:left="5040" w:hanging="360"/>
      </w:pPr>
      <w:rPr>
        <w:rFonts w:ascii="Arial" w:hAnsi="Arial" w:hint="default"/>
      </w:rPr>
    </w:lvl>
    <w:lvl w:ilvl="7" w:tplc="66DC7770" w:tentative="1">
      <w:start w:val="1"/>
      <w:numFmt w:val="bullet"/>
      <w:lvlText w:val="•"/>
      <w:lvlJc w:val="left"/>
      <w:pPr>
        <w:tabs>
          <w:tab w:val="num" w:pos="5760"/>
        </w:tabs>
        <w:ind w:left="5760" w:hanging="360"/>
      </w:pPr>
      <w:rPr>
        <w:rFonts w:ascii="Arial" w:hAnsi="Arial" w:hint="default"/>
      </w:rPr>
    </w:lvl>
    <w:lvl w:ilvl="8" w:tplc="A79EEA62" w:tentative="1">
      <w:start w:val="1"/>
      <w:numFmt w:val="bullet"/>
      <w:lvlText w:val="•"/>
      <w:lvlJc w:val="left"/>
      <w:pPr>
        <w:tabs>
          <w:tab w:val="num" w:pos="6480"/>
        </w:tabs>
        <w:ind w:left="6480" w:hanging="360"/>
      </w:pPr>
      <w:rPr>
        <w:rFonts w:ascii="Arial" w:hAnsi="Arial" w:hint="default"/>
      </w:rPr>
    </w:lvl>
  </w:abstractNum>
  <w:abstractNum w:abstractNumId="9">
    <w:nsid w:val="25C237C3"/>
    <w:multiLevelType w:val="hybridMultilevel"/>
    <w:tmpl w:val="C4AEE5A2"/>
    <w:lvl w:ilvl="0" w:tplc="35ECEA02">
      <w:start w:val="1"/>
      <w:numFmt w:val="upperRoman"/>
      <w:lvlText w:val="%1."/>
      <w:lvlJc w:val="righ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E007F03"/>
    <w:multiLevelType w:val="hybridMultilevel"/>
    <w:tmpl w:val="BB44CCB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756A15"/>
    <w:multiLevelType w:val="hybridMultilevel"/>
    <w:tmpl w:val="CFB275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2675B69"/>
    <w:multiLevelType w:val="hybridMultilevel"/>
    <w:tmpl w:val="2C9C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241E89"/>
    <w:multiLevelType w:val="hybridMultilevel"/>
    <w:tmpl w:val="458EE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A63270A"/>
    <w:multiLevelType w:val="hybridMultilevel"/>
    <w:tmpl w:val="ADD6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45DC5"/>
    <w:multiLevelType w:val="hybridMultilevel"/>
    <w:tmpl w:val="2E9A0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5E0417"/>
    <w:multiLevelType w:val="hybridMultilevel"/>
    <w:tmpl w:val="5C186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E40C8C"/>
    <w:multiLevelType w:val="hybridMultilevel"/>
    <w:tmpl w:val="0A4C4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A85BDE"/>
    <w:multiLevelType w:val="hybridMultilevel"/>
    <w:tmpl w:val="375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85419"/>
    <w:multiLevelType w:val="hybridMultilevel"/>
    <w:tmpl w:val="2FB0B7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058AB"/>
    <w:multiLevelType w:val="hybridMultilevel"/>
    <w:tmpl w:val="C9C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30AC0"/>
    <w:multiLevelType w:val="hybridMultilevel"/>
    <w:tmpl w:val="4B1CDF8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CAF5619"/>
    <w:multiLevelType w:val="hybridMultilevel"/>
    <w:tmpl w:val="4282C1E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4663069"/>
    <w:multiLevelType w:val="hybridMultilevel"/>
    <w:tmpl w:val="182EFC4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E1E1E"/>
    <w:multiLevelType w:val="hybridMultilevel"/>
    <w:tmpl w:val="2230E1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9A6389F"/>
    <w:multiLevelType w:val="hybridMultilevel"/>
    <w:tmpl w:val="B0ECE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4"/>
  </w:num>
  <w:num w:numId="4">
    <w:abstractNumId w:val="24"/>
  </w:num>
  <w:num w:numId="5">
    <w:abstractNumId w:val="0"/>
  </w:num>
  <w:num w:numId="6">
    <w:abstractNumId w:val="1"/>
  </w:num>
  <w:num w:numId="7">
    <w:abstractNumId w:val="9"/>
  </w:num>
  <w:num w:numId="8">
    <w:abstractNumId w:val="18"/>
  </w:num>
  <w:num w:numId="9">
    <w:abstractNumId w:val="6"/>
  </w:num>
  <w:num w:numId="10">
    <w:abstractNumId w:val="15"/>
  </w:num>
  <w:num w:numId="11">
    <w:abstractNumId w:val="16"/>
  </w:num>
  <w:num w:numId="12">
    <w:abstractNumId w:val="20"/>
  </w:num>
  <w:num w:numId="13">
    <w:abstractNumId w:val="23"/>
  </w:num>
  <w:num w:numId="14">
    <w:abstractNumId w:val="2"/>
  </w:num>
  <w:num w:numId="15">
    <w:abstractNumId w:val="3"/>
  </w:num>
  <w:num w:numId="16">
    <w:abstractNumId w:val="12"/>
  </w:num>
  <w:num w:numId="17">
    <w:abstractNumId w:val="14"/>
  </w:num>
  <w:num w:numId="18">
    <w:abstractNumId w:val="5"/>
  </w:num>
  <w:num w:numId="19">
    <w:abstractNumId w:val="17"/>
  </w:num>
  <w:num w:numId="20">
    <w:abstractNumId w:val="21"/>
  </w:num>
  <w:num w:numId="21">
    <w:abstractNumId w:val="19"/>
  </w:num>
  <w:num w:numId="22">
    <w:abstractNumId w:val="25"/>
  </w:num>
  <w:num w:numId="23">
    <w:abstractNumId w:val="11"/>
  </w:num>
  <w:num w:numId="24">
    <w:abstractNumId w:val="8"/>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35"/>
    <w:rsid w:val="000015CA"/>
    <w:rsid w:val="000110E5"/>
    <w:rsid w:val="00030220"/>
    <w:rsid w:val="00031411"/>
    <w:rsid w:val="00055FFD"/>
    <w:rsid w:val="0006210A"/>
    <w:rsid w:val="00066D84"/>
    <w:rsid w:val="00074338"/>
    <w:rsid w:val="00091E20"/>
    <w:rsid w:val="000B13FC"/>
    <w:rsid w:val="000B6814"/>
    <w:rsid w:val="000C6D3C"/>
    <w:rsid w:val="000E3D47"/>
    <w:rsid w:val="001115D8"/>
    <w:rsid w:val="001166D6"/>
    <w:rsid w:val="001204B0"/>
    <w:rsid w:val="00144D6A"/>
    <w:rsid w:val="001459E0"/>
    <w:rsid w:val="00150F57"/>
    <w:rsid w:val="001528A4"/>
    <w:rsid w:val="00162A21"/>
    <w:rsid w:val="0017047C"/>
    <w:rsid w:val="001745FF"/>
    <w:rsid w:val="001758EE"/>
    <w:rsid w:val="00177170"/>
    <w:rsid w:val="00185FEA"/>
    <w:rsid w:val="001936E9"/>
    <w:rsid w:val="00193D5B"/>
    <w:rsid w:val="001B05B1"/>
    <w:rsid w:val="001B1201"/>
    <w:rsid w:val="001B3C62"/>
    <w:rsid w:val="001B5BF3"/>
    <w:rsid w:val="001C096F"/>
    <w:rsid w:val="001E0357"/>
    <w:rsid w:val="001E468D"/>
    <w:rsid w:val="001F0955"/>
    <w:rsid w:val="001F0B26"/>
    <w:rsid w:val="001F38F6"/>
    <w:rsid w:val="00202F52"/>
    <w:rsid w:val="002038A7"/>
    <w:rsid w:val="002148BC"/>
    <w:rsid w:val="002215F7"/>
    <w:rsid w:val="0022347F"/>
    <w:rsid w:val="00226489"/>
    <w:rsid w:val="00226EE6"/>
    <w:rsid w:val="00230D57"/>
    <w:rsid w:val="0024136A"/>
    <w:rsid w:val="00247E10"/>
    <w:rsid w:val="00250EC3"/>
    <w:rsid w:val="00275A41"/>
    <w:rsid w:val="002A212F"/>
    <w:rsid w:val="002B35FD"/>
    <w:rsid w:val="002B577A"/>
    <w:rsid w:val="002B6B9E"/>
    <w:rsid w:val="002C0E75"/>
    <w:rsid w:val="002E1968"/>
    <w:rsid w:val="0031389B"/>
    <w:rsid w:val="00314BCF"/>
    <w:rsid w:val="00323557"/>
    <w:rsid w:val="00323D8A"/>
    <w:rsid w:val="0034437B"/>
    <w:rsid w:val="00352C5E"/>
    <w:rsid w:val="00354C6E"/>
    <w:rsid w:val="003663EC"/>
    <w:rsid w:val="0038129D"/>
    <w:rsid w:val="0038713F"/>
    <w:rsid w:val="00397625"/>
    <w:rsid w:val="003B50F8"/>
    <w:rsid w:val="003C02E1"/>
    <w:rsid w:val="003D11C6"/>
    <w:rsid w:val="003D2BE4"/>
    <w:rsid w:val="003E2AD7"/>
    <w:rsid w:val="0040116A"/>
    <w:rsid w:val="00413632"/>
    <w:rsid w:val="00414F39"/>
    <w:rsid w:val="0042115D"/>
    <w:rsid w:val="004264BB"/>
    <w:rsid w:val="00441E2A"/>
    <w:rsid w:val="00444166"/>
    <w:rsid w:val="00444BD6"/>
    <w:rsid w:val="00450513"/>
    <w:rsid w:val="004535E9"/>
    <w:rsid w:val="00455616"/>
    <w:rsid w:val="00463F74"/>
    <w:rsid w:val="00470917"/>
    <w:rsid w:val="00480CBB"/>
    <w:rsid w:val="004A3402"/>
    <w:rsid w:val="004C2AD8"/>
    <w:rsid w:val="004D0E6E"/>
    <w:rsid w:val="004D4892"/>
    <w:rsid w:val="004D5E5A"/>
    <w:rsid w:val="004E0168"/>
    <w:rsid w:val="004E140B"/>
    <w:rsid w:val="004E2468"/>
    <w:rsid w:val="004E706A"/>
    <w:rsid w:val="004F0414"/>
    <w:rsid w:val="004F2323"/>
    <w:rsid w:val="004F546C"/>
    <w:rsid w:val="00507ED9"/>
    <w:rsid w:val="00511652"/>
    <w:rsid w:val="00515E09"/>
    <w:rsid w:val="00525325"/>
    <w:rsid w:val="0053038E"/>
    <w:rsid w:val="0053046E"/>
    <w:rsid w:val="0053702B"/>
    <w:rsid w:val="00557A76"/>
    <w:rsid w:val="005754F9"/>
    <w:rsid w:val="005842A9"/>
    <w:rsid w:val="005876DC"/>
    <w:rsid w:val="005A2E52"/>
    <w:rsid w:val="005A48D5"/>
    <w:rsid w:val="005B0A9B"/>
    <w:rsid w:val="005B2CF1"/>
    <w:rsid w:val="005B62BE"/>
    <w:rsid w:val="005D19F1"/>
    <w:rsid w:val="00605D96"/>
    <w:rsid w:val="00613C44"/>
    <w:rsid w:val="00631442"/>
    <w:rsid w:val="00635CC3"/>
    <w:rsid w:val="00636BA3"/>
    <w:rsid w:val="0064531B"/>
    <w:rsid w:val="00653C50"/>
    <w:rsid w:val="00674155"/>
    <w:rsid w:val="006756C1"/>
    <w:rsid w:val="00684EB3"/>
    <w:rsid w:val="00685539"/>
    <w:rsid w:val="006A0F06"/>
    <w:rsid w:val="006B6E2E"/>
    <w:rsid w:val="006B7E58"/>
    <w:rsid w:val="006D5FB0"/>
    <w:rsid w:val="006F0AE0"/>
    <w:rsid w:val="006F165D"/>
    <w:rsid w:val="006F2430"/>
    <w:rsid w:val="006F6DE1"/>
    <w:rsid w:val="0070137A"/>
    <w:rsid w:val="0070509C"/>
    <w:rsid w:val="007219E5"/>
    <w:rsid w:val="00741552"/>
    <w:rsid w:val="007561C0"/>
    <w:rsid w:val="00763C67"/>
    <w:rsid w:val="00776261"/>
    <w:rsid w:val="0077636F"/>
    <w:rsid w:val="00784154"/>
    <w:rsid w:val="00796FE3"/>
    <w:rsid w:val="007B1CA4"/>
    <w:rsid w:val="007B7622"/>
    <w:rsid w:val="007C4A02"/>
    <w:rsid w:val="007E0C42"/>
    <w:rsid w:val="007E4E51"/>
    <w:rsid w:val="007E51BE"/>
    <w:rsid w:val="007F313E"/>
    <w:rsid w:val="007F4BC1"/>
    <w:rsid w:val="007F4CA5"/>
    <w:rsid w:val="007F7459"/>
    <w:rsid w:val="00821211"/>
    <w:rsid w:val="00836982"/>
    <w:rsid w:val="00850466"/>
    <w:rsid w:val="008654ED"/>
    <w:rsid w:val="00872DB8"/>
    <w:rsid w:val="008A005F"/>
    <w:rsid w:val="008A7EC0"/>
    <w:rsid w:val="008B1A35"/>
    <w:rsid w:val="008D6CE5"/>
    <w:rsid w:val="008D75DC"/>
    <w:rsid w:val="008E00EB"/>
    <w:rsid w:val="008E0E0A"/>
    <w:rsid w:val="008E6503"/>
    <w:rsid w:val="008F3652"/>
    <w:rsid w:val="009025AE"/>
    <w:rsid w:val="00907410"/>
    <w:rsid w:val="00915903"/>
    <w:rsid w:val="00917D28"/>
    <w:rsid w:val="009268BC"/>
    <w:rsid w:val="00931AC4"/>
    <w:rsid w:val="009323C1"/>
    <w:rsid w:val="009464B9"/>
    <w:rsid w:val="0095040B"/>
    <w:rsid w:val="00951564"/>
    <w:rsid w:val="00993BC4"/>
    <w:rsid w:val="00996231"/>
    <w:rsid w:val="009977CA"/>
    <w:rsid w:val="00A20932"/>
    <w:rsid w:val="00A32506"/>
    <w:rsid w:val="00A6432A"/>
    <w:rsid w:val="00A64F01"/>
    <w:rsid w:val="00A70CE1"/>
    <w:rsid w:val="00A72466"/>
    <w:rsid w:val="00A748FA"/>
    <w:rsid w:val="00A75804"/>
    <w:rsid w:val="00A76F30"/>
    <w:rsid w:val="00A8462E"/>
    <w:rsid w:val="00A8722B"/>
    <w:rsid w:val="00A959E1"/>
    <w:rsid w:val="00AC115D"/>
    <w:rsid w:val="00AC2898"/>
    <w:rsid w:val="00AD453D"/>
    <w:rsid w:val="00AF3C76"/>
    <w:rsid w:val="00AF5E93"/>
    <w:rsid w:val="00AF6F80"/>
    <w:rsid w:val="00B024D2"/>
    <w:rsid w:val="00B11745"/>
    <w:rsid w:val="00B150B0"/>
    <w:rsid w:val="00B15400"/>
    <w:rsid w:val="00B2307D"/>
    <w:rsid w:val="00B35A8D"/>
    <w:rsid w:val="00B37504"/>
    <w:rsid w:val="00B4124A"/>
    <w:rsid w:val="00B4530B"/>
    <w:rsid w:val="00B54BCD"/>
    <w:rsid w:val="00B735ED"/>
    <w:rsid w:val="00B84CAE"/>
    <w:rsid w:val="00BA6552"/>
    <w:rsid w:val="00BA68DB"/>
    <w:rsid w:val="00BA7E9E"/>
    <w:rsid w:val="00BB5CEE"/>
    <w:rsid w:val="00BB7D66"/>
    <w:rsid w:val="00BD0232"/>
    <w:rsid w:val="00BD70A6"/>
    <w:rsid w:val="00BF2078"/>
    <w:rsid w:val="00C137C2"/>
    <w:rsid w:val="00C666BA"/>
    <w:rsid w:val="00C67989"/>
    <w:rsid w:val="00C70AB7"/>
    <w:rsid w:val="00C70BFC"/>
    <w:rsid w:val="00C80D2F"/>
    <w:rsid w:val="00C825E6"/>
    <w:rsid w:val="00C928C7"/>
    <w:rsid w:val="00CA7477"/>
    <w:rsid w:val="00CB58A1"/>
    <w:rsid w:val="00CC2CB1"/>
    <w:rsid w:val="00CE1635"/>
    <w:rsid w:val="00CE2DED"/>
    <w:rsid w:val="00CE3800"/>
    <w:rsid w:val="00CF1573"/>
    <w:rsid w:val="00D051D8"/>
    <w:rsid w:val="00D35D85"/>
    <w:rsid w:val="00D5441B"/>
    <w:rsid w:val="00D57BA3"/>
    <w:rsid w:val="00D603C8"/>
    <w:rsid w:val="00D64317"/>
    <w:rsid w:val="00D65E97"/>
    <w:rsid w:val="00D8642C"/>
    <w:rsid w:val="00DA32A2"/>
    <w:rsid w:val="00DA5FEF"/>
    <w:rsid w:val="00DB630E"/>
    <w:rsid w:val="00DC3FA6"/>
    <w:rsid w:val="00DD52B5"/>
    <w:rsid w:val="00DD780C"/>
    <w:rsid w:val="00DE066E"/>
    <w:rsid w:val="00E017EB"/>
    <w:rsid w:val="00E0502B"/>
    <w:rsid w:val="00E4015D"/>
    <w:rsid w:val="00E405C6"/>
    <w:rsid w:val="00E5116C"/>
    <w:rsid w:val="00E52CF1"/>
    <w:rsid w:val="00E56DA8"/>
    <w:rsid w:val="00E7588A"/>
    <w:rsid w:val="00E76256"/>
    <w:rsid w:val="00EA6639"/>
    <w:rsid w:val="00EB4208"/>
    <w:rsid w:val="00ED154A"/>
    <w:rsid w:val="00ED33A9"/>
    <w:rsid w:val="00EF1CF7"/>
    <w:rsid w:val="00EF53DB"/>
    <w:rsid w:val="00F16446"/>
    <w:rsid w:val="00F20AE3"/>
    <w:rsid w:val="00F336A0"/>
    <w:rsid w:val="00F3386F"/>
    <w:rsid w:val="00F40508"/>
    <w:rsid w:val="00F41074"/>
    <w:rsid w:val="00F430FF"/>
    <w:rsid w:val="00F44D7A"/>
    <w:rsid w:val="00F460E6"/>
    <w:rsid w:val="00F50CD3"/>
    <w:rsid w:val="00F62353"/>
    <w:rsid w:val="00F72B0B"/>
    <w:rsid w:val="00F9101A"/>
    <w:rsid w:val="00FA20F2"/>
    <w:rsid w:val="00FA71E8"/>
    <w:rsid w:val="00FC064E"/>
    <w:rsid w:val="00FC5555"/>
    <w:rsid w:val="00FF0765"/>
    <w:rsid w:val="00FF3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35"/>
    <w:rPr>
      <w:rFonts w:ascii="Times New Roman" w:eastAsia="Times New Roman" w:hAnsi="Times New Roman"/>
      <w:sz w:val="24"/>
      <w:szCs w:val="24"/>
      <w:lang w:val="en-GB"/>
    </w:rPr>
  </w:style>
  <w:style w:type="paragraph" w:styleId="Heading1">
    <w:name w:val="heading 1"/>
    <w:basedOn w:val="Normal"/>
    <w:next w:val="Normal"/>
    <w:link w:val="Heading1Char"/>
    <w:autoRedefine/>
    <w:qFormat/>
    <w:rsid w:val="004A3402"/>
    <w:pPr>
      <w:keepNext/>
      <w:spacing w:line="360" w:lineRule="auto"/>
      <w:jc w:val="center"/>
      <w:outlineLvl w:val="0"/>
    </w:pPr>
    <w:rPr>
      <w:b/>
      <w:bCs/>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3402"/>
    <w:rPr>
      <w:rFonts w:ascii="Times New Roman" w:eastAsia="Times New Roman" w:hAnsi="Times New Roman"/>
      <w:b/>
      <w:bCs/>
      <w:iCs/>
      <w:color w:val="000000"/>
      <w:sz w:val="28"/>
      <w:szCs w:val="24"/>
      <w:lang w:val="en-GB"/>
    </w:rPr>
  </w:style>
  <w:style w:type="character" w:styleId="Hyperlink">
    <w:name w:val="Hyperlink"/>
    <w:rsid w:val="008B1A35"/>
    <w:rPr>
      <w:color w:val="0000FF"/>
      <w:u w:val="single"/>
    </w:rPr>
  </w:style>
  <w:style w:type="paragraph" w:styleId="Header">
    <w:name w:val="header"/>
    <w:basedOn w:val="Normal"/>
    <w:link w:val="HeaderChar"/>
    <w:uiPriority w:val="99"/>
    <w:unhideWhenUsed/>
    <w:rsid w:val="001B05B1"/>
    <w:pPr>
      <w:tabs>
        <w:tab w:val="center" w:pos="4680"/>
        <w:tab w:val="right" w:pos="9360"/>
      </w:tabs>
    </w:pPr>
  </w:style>
  <w:style w:type="character" w:customStyle="1" w:styleId="HeaderChar">
    <w:name w:val="Header Char"/>
    <w:link w:val="Header"/>
    <w:uiPriority w:val="99"/>
    <w:rsid w:val="001B05B1"/>
    <w:rPr>
      <w:rFonts w:ascii="Times New Roman" w:eastAsia="Times New Roman" w:hAnsi="Times New Roman"/>
      <w:sz w:val="24"/>
      <w:szCs w:val="24"/>
      <w:lang w:val="en-GB"/>
    </w:rPr>
  </w:style>
  <w:style w:type="paragraph" w:styleId="Footer">
    <w:name w:val="footer"/>
    <w:basedOn w:val="Normal"/>
    <w:link w:val="FooterChar"/>
    <w:uiPriority w:val="99"/>
    <w:unhideWhenUsed/>
    <w:rsid w:val="001B05B1"/>
    <w:pPr>
      <w:tabs>
        <w:tab w:val="center" w:pos="4680"/>
        <w:tab w:val="right" w:pos="9360"/>
      </w:tabs>
    </w:pPr>
  </w:style>
  <w:style w:type="character" w:customStyle="1" w:styleId="FooterChar">
    <w:name w:val="Footer Char"/>
    <w:link w:val="Footer"/>
    <w:uiPriority w:val="99"/>
    <w:rsid w:val="001B05B1"/>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F20AE3"/>
    <w:rPr>
      <w:rFonts w:ascii="Tahoma" w:hAnsi="Tahoma"/>
      <w:sz w:val="16"/>
      <w:szCs w:val="16"/>
    </w:rPr>
  </w:style>
  <w:style w:type="character" w:customStyle="1" w:styleId="BalloonTextChar">
    <w:name w:val="Balloon Text Char"/>
    <w:link w:val="BalloonText"/>
    <w:uiPriority w:val="99"/>
    <w:semiHidden/>
    <w:rsid w:val="00F20AE3"/>
    <w:rPr>
      <w:rFonts w:ascii="Tahoma" w:eastAsia="Times New Roman" w:hAnsi="Tahoma" w:cs="Tahoma"/>
      <w:sz w:val="16"/>
      <w:szCs w:val="16"/>
      <w:lang w:val="en-GB"/>
    </w:rPr>
  </w:style>
  <w:style w:type="character" w:styleId="CommentReference">
    <w:name w:val="annotation reference"/>
    <w:uiPriority w:val="99"/>
    <w:semiHidden/>
    <w:unhideWhenUsed/>
    <w:rsid w:val="00674155"/>
    <w:rPr>
      <w:sz w:val="16"/>
      <w:szCs w:val="16"/>
    </w:rPr>
  </w:style>
  <w:style w:type="paragraph" w:styleId="CommentText">
    <w:name w:val="annotation text"/>
    <w:basedOn w:val="Normal"/>
    <w:link w:val="CommentTextChar"/>
    <w:uiPriority w:val="99"/>
    <w:unhideWhenUsed/>
    <w:rsid w:val="00674155"/>
    <w:rPr>
      <w:sz w:val="20"/>
      <w:szCs w:val="20"/>
    </w:rPr>
  </w:style>
  <w:style w:type="character" w:customStyle="1" w:styleId="CommentTextChar">
    <w:name w:val="Comment Text Char"/>
    <w:link w:val="CommentText"/>
    <w:uiPriority w:val="99"/>
    <w:rsid w:val="00674155"/>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4155"/>
    <w:rPr>
      <w:b/>
      <w:bCs/>
    </w:rPr>
  </w:style>
  <w:style w:type="character" w:customStyle="1" w:styleId="CommentSubjectChar">
    <w:name w:val="Comment Subject Char"/>
    <w:link w:val="CommentSubject"/>
    <w:uiPriority w:val="99"/>
    <w:semiHidden/>
    <w:rsid w:val="00674155"/>
    <w:rPr>
      <w:rFonts w:ascii="Times New Roman" w:eastAsia="Times New Roman" w:hAnsi="Times New Roman"/>
      <w:b/>
      <w:bCs/>
      <w:lang w:val="en-GB"/>
    </w:rPr>
  </w:style>
  <w:style w:type="paragraph" w:styleId="ListParagraph">
    <w:name w:val="List Paragraph"/>
    <w:basedOn w:val="Normal"/>
    <w:uiPriority w:val="34"/>
    <w:qFormat/>
    <w:rsid w:val="004F546C"/>
    <w:pPr>
      <w:ind w:left="720"/>
      <w:contextualSpacing/>
    </w:pPr>
  </w:style>
  <w:style w:type="paragraph" w:styleId="FootnoteText">
    <w:name w:val="footnote text"/>
    <w:basedOn w:val="Normal"/>
    <w:link w:val="FootnoteTextChar"/>
    <w:uiPriority w:val="99"/>
    <w:semiHidden/>
    <w:unhideWhenUsed/>
    <w:rsid w:val="006F165D"/>
    <w:rPr>
      <w:sz w:val="20"/>
      <w:szCs w:val="20"/>
    </w:rPr>
  </w:style>
  <w:style w:type="character" w:customStyle="1" w:styleId="FootnoteTextChar">
    <w:name w:val="Footnote Text Char"/>
    <w:basedOn w:val="DefaultParagraphFont"/>
    <w:link w:val="FootnoteText"/>
    <w:uiPriority w:val="99"/>
    <w:semiHidden/>
    <w:rsid w:val="006F165D"/>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6F1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35"/>
    <w:rPr>
      <w:rFonts w:ascii="Times New Roman" w:eastAsia="Times New Roman" w:hAnsi="Times New Roman"/>
      <w:sz w:val="24"/>
      <w:szCs w:val="24"/>
      <w:lang w:val="en-GB"/>
    </w:rPr>
  </w:style>
  <w:style w:type="paragraph" w:styleId="Heading1">
    <w:name w:val="heading 1"/>
    <w:basedOn w:val="Normal"/>
    <w:next w:val="Normal"/>
    <w:link w:val="Heading1Char"/>
    <w:autoRedefine/>
    <w:qFormat/>
    <w:rsid w:val="004A3402"/>
    <w:pPr>
      <w:keepNext/>
      <w:spacing w:line="360" w:lineRule="auto"/>
      <w:jc w:val="center"/>
      <w:outlineLvl w:val="0"/>
    </w:pPr>
    <w:rPr>
      <w:b/>
      <w:bCs/>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3402"/>
    <w:rPr>
      <w:rFonts w:ascii="Times New Roman" w:eastAsia="Times New Roman" w:hAnsi="Times New Roman"/>
      <w:b/>
      <w:bCs/>
      <w:iCs/>
      <w:color w:val="000000"/>
      <w:sz w:val="28"/>
      <w:szCs w:val="24"/>
      <w:lang w:val="en-GB"/>
    </w:rPr>
  </w:style>
  <w:style w:type="character" w:styleId="Hyperlink">
    <w:name w:val="Hyperlink"/>
    <w:rsid w:val="008B1A35"/>
    <w:rPr>
      <w:color w:val="0000FF"/>
      <w:u w:val="single"/>
    </w:rPr>
  </w:style>
  <w:style w:type="paragraph" w:styleId="Header">
    <w:name w:val="header"/>
    <w:basedOn w:val="Normal"/>
    <w:link w:val="HeaderChar"/>
    <w:uiPriority w:val="99"/>
    <w:unhideWhenUsed/>
    <w:rsid w:val="001B05B1"/>
    <w:pPr>
      <w:tabs>
        <w:tab w:val="center" w:pos="4680"/>
        <w:tab w:val="right" w:pos="9360"/>
      </w:tabs>
    </w:pPr>
  </w:style>
  <w:style w:type="character" w:customStyle="1" w:styleId="HeaderChar">
    <w:name w:val="Header Char"/>
    <w:link w:val="Header"/>
    <w:uiPriority w:val="99"/>
    <w:rsid w:val="001B05B1"/>
    <w:rPr>
      <w:rFonts w:ascii="Times New Roman" w:eastAsia="Times New Roman" w:hAnsi="Times New Roman"/>
      <w:sz w:val="24"/>
      <w:szCs w:val="24"/>
      <w:lang w:val="en-GB"/>
    </w:rPr>
  </w:style>
  <w:style w:type="paragraph" w:styleId="Footer">
    <w:name w:val="footer"/>
    <w:basedOn w:val="Normal"/>
    <w:link w:val="FooterChar"/>
    <w:uiPriority w:val="99"/>
    <w:unhideWhenUsed/>
    <w:rsid w:val="001B05B1"/>
    <w:pPr>
      <w:tabs>
        <w:tab w:val="center" w:pos="4680"/>
        <w:tab w:val="right" w:pos="9360"/>
      </w:tabs>
    </w:pPr>
  </w:style>
  <w:style w:type="character" w:customStyle="1" w:styleId="FooterChar">
    <w:name w:val="Footer Char"/>
    <w:link w:val="Footer"/>
    <w:uiPriority w:val="99"/>
    <w:rsid w:val="001B05B1"/>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F20AE3"/>
    <w:rPr>
      <w:rFonts w:ascii="Tahoma" w:hAnsi="Tahoma"/>
      <w:sz w:val="16"/>
      <w:szCs w:val="16"/>
    </w:rPr>
  </w:style>
  <w:style w:type="character" w:customStyle="1" w:styleId="BalloonTextChar">
    <w:name w:val="Balloon Text Char"/>
    <w:link w:val="BalloonText"/>
    <w:uiPriority w:val="99"/>
    <w:semiHidden/>
    <w:rsid w:val="00F20AE3"/>
    <w:rPr>
      <w:rFonts w:ascii="Tahoma" w:eastAsia="Times New Roman" w:hAnsi="Tahoma" w:cs="Tahoma"/>
      <w:sz w:val="16"/>
      <w:szCs w:val="16"/>
      <w:lang w:val="en-GB"/>
    </w:rPr>
  </w:style>
  <w:style w:type="character" w:styleId="CommentReference">
    <w:name w:val="annotation reference"/>
    <w:uiPriority w:val="99"/>
    <w:semiHidden/>
    <w:unhideWhenUsed/>
    <w:rsid w:val="00674155"/>
    <w:rPr>
      <w:sz w:val="16"/>
      <w:szCs w:val="16"/>
    </w:rPr>
  </w:style>
  <w:style w:type="paragraph" w:styleId="CommentText">
    <w:name w:val="annotation text"/>
    <w:basedOn w:val="Normal"/>
    <w:link w:val="CommentTextChar"/>
    <w:uiPriority w:val="99"/>
    <w:unhideWhenUsed/>
    <w:rsid w:val="00674155"/>
    <w:rPr>
      <w:sz w:val="20"/>
      <w:szCs w:val="20"/>
    </w:rPr>
  </w:style>
  <w:style w:type="character" w:customStyle="1" w:styleId="CommentTextChar">
    <w:name w:val="Comment Text Char"/>
    <w:link w:val="CommentText"/>
    <w:uiPriority w:val="99"/>
    <w:rsid w:val="00674155"/>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4155"/>
    <w:rPr>
      <w:b/>
      <w:bCs/>
    </w:rPr>
  </w:style>
  <w:style w:type="character" w:customStyle="1" w:styleId="CommentSubjectChar">
    <w:name w:val="Comment Subject Char"/>
    <w:link w:val="CommentSubject"/>
    <w:uiPriority w:val="99"/>
    <w:semiHidden/>
    <w:rsid w:val="00674155"/>
    <w:rPr>
      <w:rFonts w:ascii="Times New Roman" w:eastAsia="Times New Roman" w:hAnsi="Times New Roman"/>
      <w:b/>
      <w:bCs/>
      <w:lang w:val="en-GB"/>
    </w:rPr>
  </w:style>
  <w:style w:type="paragraph" w:styleId="ListParagraph">
    <w:name w:val="List Paragraph"/>
    <w:basedOn w:val="Normal"/>
    <w:uiPriority w:val="34"/>
    <w:qFormat/>
    <w:rsid w:val="004F546C"/>
    <w:pPr>
      <w:ind w:left="720"/>
      <w:contextualSpacing/>
    </w:pPr>
  </w:style>
  <w:style w:type="paragraph" w:styleId="FootnoteText">
    <w:name w:val="footnote text"/>
    <w:basedOn w:val="Normal"/>
    <w:link w:val="FootnoteTextChar"/>
    <w:uiPriority w:val="99"/>
    <w:semiHidden/>
    <w:unhideWhenUsed/>
    <w:rsid w:val="006F165D"/>
    <w:rPr>
      <w:sz w:val="20"/>
      <w:szCs w:val="20"/>
    </w:rPr>
  </w:style>
  <w:style w:type="character" w:customStyle="1" w:styleId="FootnoteTextChar">
    <w:name w:val="Footnote Text Char"/>
    <w:basedOn w:val="DefaultParagraphFont"/>
    <w:link w:val="FootnoteText"/>
    <w:uiPriority w:val="99"/>
    <w:semiHidden/>
    <w:rsid w:val="006F165D"/>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6F1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41470">
      <w:bodyDiv w:val="1"/>
      <w:marLeft w:val="0"/>
      <w:marRight w:val="0"/>
      <w:marTop w:val="0"/>
      <w:marBottom w:val="0"/>
      <w:divBdr>
        <w:top w:val="none" w:sz="0" w:space="0" w:color="auto"/>
        <w:left w:val="none" w:sz="0" w:space="0" w:color="auto"/>
        <w:bottom w:val="none" w:sz="0" w:space="0" w:color="auto"/>
        <w:right w:val="none" w:sz="0" w:space="0" w:color="auto"/>
      </w:divBdr>
    </w:div>
    <w:div w:id="494347770">
      <w:bodyDiv w:val="1"/>
      <w:marLeft w:val="0"/>
      <w:marRight w:val="0"/>
      <w:marTop w:val="0"/>
      <w:marBottom w:val="0"/>
      <w:divBdr>
        <w:top w:val="none" w:sz="0" w:space="0" w:color="auto"/>
        <w:left w:val="none" w:sz="0" w:space="0" w:color="auto"/>
        <w:bottom w:val="none" w:sz="0" w:space="0" w:color="auto"/>
        <w:right w:val="none" w:sz="0" w:space="0" w:color="auto"/>
      </w:divBdr>
    </w:div>
    <w:div w:id="736709226">
      <w:bodyDiv w:val="1"/>
      <w:marLeft w:val="0"/>
      <w:marRight w:val="0"/>
      <w:marTop w:val="0"/>
      <w:marBottom w:val="0"/>
      <w:divBdr>
        <w:top w:val="none" w:sz="0" w:space="0" w:color="auto"/>
        <w:left w:val="none" w:sz="0" w:space="0" w:color="auto"/>
        <w:bottom w:val="none" w:sz="0" w:space="0" w:color="auto"/>
        <w:right w:val="none" w:sz="0" w:space="0" w:color="auto"/>
      </w:divBdr>
    </w:div>
    <w:div w:id="1096025653">
      <w:bodyDiv w:val="1"/>
      <w:marLeft w:val="0"/>
      <w:marRight w:val="0"/>
      <w:marTop w:val="0"/>
      <w:marBottom w:val="0"/>
      <w:divBdr>
        <w:top w:val="none" w:sz="0" w:space="0" w:color="auto"/>
        <w:left w:val="none" w:sz="0" w:space="0" w:color="auto"/>
        <w:bottom w:val="none" w:sz="0" w:space="0" w:color="auto"/>
        <w:right w:val="none" w:sz="0" w:space="0" w:color="auto"/>
      </w:divBdr>
    </w:div>
    <w:div w:id="1243415103">
      <w:bodyDiv w:val="1"/>
      <w:marLeft w:val="0"/>
      <w:marRight w:val="0"/>
      <w:marTop w:val="0"/>
      <w:marBottom w:val="0"/>
      <w:divBdr>
        <w:top w:val="none" w:sz="0" w:space="0" w:color="auto"/>
        <w:left w:val="none" w:sz="0" w:space="0" w:color="auto"/>
        <w:bottom w:val="none" w:sz="0" w:space="0" w:color="auto"/>
        <w:right w:val="none" w:sz="0" w:space="0" w:color="auto"/>
      </w:divBdr>
    </w:div>
    <w:div w:id="1286502516">
      <w:bodyDiv w:val="1"/>
      <w:marLeft w:val="0"/>
      <w:marRight w:val="0"/>
      <w:marTop w:val="0"/>
      <w:marBottom w:val="0"/>
      <w:divBdr>
        <w:top w:val="none" w:sz="0" w:space="0" w:color="auto"/>
        <w:left w:val="none" w:sz="0" w:space="0" w:color="auto"/>
        <w:bottom w:val="none" w:sz="0" w:space="0" w:color="auto"/>
        <w:right w:val="none" w:sz="0" w:space="0" w:color="auto"/>
      </w:divBdr>
    </w:div>
    <w:div w:id="1420298308">
      <w:bodyDiv w:val="1"/>
      <w:marLeft w:val="0"/>
      <w:marRight w:val="0"/>
      <w:marTop w:val="0"/>
      <w:marBottom w:val="0"/>
      <w:divBdr>
        <w:top w:val="none" w:sz="0" w:space="0" w:color="auto"/>
        <w:left w:val="none" w:sz="0" w:space="0" w:color="auto"/>
        <w:bottom w:val="none" w:sz="0" w:space="0" w:color="auto"/>
        <w:right w:val="none" w:sz="0" w:space="0" w:color="auto"/>
      </w:divBdr>
    </w:div>
    <w:div w:id="1549684013">
      <w:bodyDiv w:val="1"/>
      <w:marLeft w:val="0"/>
      <w:marRight w:val="0"/>
      <w:marTop w:val="0"/>
      <w:marBottom w:val="0"/>
      <w:divBdr>
        <w:top w:val="none" w:sz="0" w:space="0" w:color="auto"/>
        <w:left w:val="none" w:sz="0" w:space="0" w:color="auto"/>
        <w:bottom w:val="none" w:sz="0" w:space="0" w:color="auto"/>
        <w:right w:val="none" w:sz="0" w:space="0" w:color="auto"/>
      </w:divBdr>
      <w:divsChild>
        <w:div w:id="683437603">
          <w:marLeft w:val="547"/>
          <w:marRight w:val="0"/>
          <w:marTop w:val="0"/>
          <w:marBottom w:val="0"/>
          <w:divBdr>
            <w:top w:val="none" w:sz="0" w:space="0" w:color="auto"/>
            <w:left w:val="none" w:sz="0" w:space="0" w:color="auto"/>
            <w:bottom w:val="none" w:sz="0" w:space="0" w:color="auto"/>
            <w:right w:val="none" w:sz="0" w:space="0" w:color="auto"/>
          </w:divBdr>
        </w:div>
      </w:divsChild>
    </w:div>
    <w:div w:id="1658992127">
      <w:bodyDiv w:val="1"/>
      <w:marLeft w:val="0"/>
      <w:marRight w:val="0"/>
      <w:marTop w:val="0"/>
      <w:marBottom w:val="0"/>
      <w:divBdr>
        <w:top w:val="none" w:sz="0" w:space="0" w:color="auto"/>
        <w:left w:val="none" w:sz="0" w:space="0" w:color="auto"/>
        <w:bottom w:val="none" w:sz="0" w:space="0" w:color="auto"/>
        <w:right w:val="none" w:sz="0" w:space="0" w:color="auto"/>
      </w:divBdr>
    </w:div>
    <w:div w:id="1777559671">
      <w:bodyDiv w:val="1"/>
      <w:marLeft w:val="0"/>
      <w:marRight w:val="0"/>
      <w:marTop w:val="0"/>
      <w:marBottom w:val="0"/>
      <w:divBdr>
        <w:top w:val="none" w:sz="0" w:space="0" w:color="auto"/>
        <w:left w:val="none" w:sz="0" w:space="0" w:color="auto"/>
        <w:bottom w:val="none" w:sz="0" w:space="0" w:color="auto"/>
        <w:right w:val="none" w:sz="0" w:space="0" w:color="auto"/>
      </w:divBdr>
    </w:div>
    <w:div w:id="2094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dpr@minecofin.gov.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F280-FDC9-42F3-AA5E-52C9DF6B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8093</CharactersWithSpaces>
  <SharedDoc>false</SharedDoc>
  <HLinks>
    <vt:vector size="6" baseType="variant">
      <vt:variant>
        <vt:i4>3014743</vt:i4>
      </vt:variant>
      <vt:variant>
        <vt:i4>0</vt:i4>
      </vt:variant>
      <vt:variant>
        <vt:i4>0</vt:i4>
      </vt:variant>
      <vt:variant>
        <vt:i4>5</vt:i4>
      </vt:variant>
      <vt:variant>
        <vt:lpwstr>mailto:ndpr@minecofin.gov.rw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richard.mushabe</dc:creator>
  <cp:lastModifiedBy>Jean d'amour Gatera</cp:lastModifiedBy>
  <cp:revision>2</cp:revision>
  <cp:lastPrinted>2015-05-05T15:14:00Z</cp:lastPrinted>
  <dcterms:created xsi:type="dcterms:W3CDTF">2015-05-14T12:49:00Z</dcterms:created>
  <dcterms:modified xsi:type="dcterms:W3CDTF">2015-05-14T12:49:00Z</dcterms:modified>
</cp:coreProperties>
</file>